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Look w:val="01E0" w:firstRow="1" w:lastRow="1" w:firstColumn="1" w:lastColumn="1" w:noHBand="0" w:noVBand="0"/>
      </w:tblPr>
      <w:tblGrid>
        <w:gridCol w:w="743"/>
        <w:gridCol w:w="8077"/>
      </w:tblGrid>
      <w:tr w:rsidR="00D508C1" w:rsidTr="00D508C1">
        <w:trPr>
          <w:trHeight w:val="295"/>
          <w:jc w:val="center"/>
        </w:trPr>
        <w:tc>
          <w:tcPr>
            <w:tcW w:w="743" w:type="dxa"/>
            <w:tcBorders>
              <w:top w:val="nil"/>
              <w:left w:val="nil"/>
              <w:bottom w:val="nil"/>
              <w:right w:val="nil"/>
            </w:tcBorders>
            <w:hideMark/>
          </w:tcPr>
          <w:p w:rsidR="00D508C1" w:rsidRDefault="00D508C1">
            <w:pPr>
              <w:jc w:val="both"/>
              <w:rPr>
                <w:rFonts w:ascii="FrankRuehl" w:hAnsi="FrankRuehl" w:cs="FrankRuehl"/>
                <w:b/>
                <w:bCs/>
                <w:sz w:val="30"/>
                <w:szCs w:val="30"/>
              </w:rPr>
            </w:pPr>
            <w:bookmarkStart w:id="0" w:name="_GoBack"/>
            <w:bookmarkEnd w:id="0"/>
            <w:r>
              <w:rPr>
                <w:rFonts w:ascii="FrankRuehl" w:hAnsi="FrankRuehl" w:cs="FrankRuehl"/>
                <w:b/>
                <w:bCs/>
                <w:sz w:val="30"/>
                <w:szCs w:val="30"/>
                <w:rtl/>
              </w:rPr>
              <w:t xml:space="preserve">בפני </w:t>
            </w:r>
          </w:p>
        </w:tc>
        <w:tc>
          <w:tcPr>
            <w:tcW w:w="8077" w:type="dxa"/>
            <w:tcBorders>
              <w:top w:val="nil"/>
              <w:left w:val="nil"/>
              <w:bottom w:val="nil"/>
              <w:right w:val="nil"/>
            </w:tcBorders>
            <w:hideMark/>
          </w:tcPr>
          <w:p w:rsidR="00D508C1" w:rsidRDefault="00D508C1">
            <w:pPr>
              <w:rPr>
                <w:rFonts w:ascii="FrankRuehl" w:hAnsi="FrankRuehl" w:cs="FrankRuehl"/>
                <w:b/>
                <w:bCs/>
                <w:sz w:val="30"/>
                <w:szCs w:val="30"/>
                <w:highlight w:val="yellow"/>
              </w:rPr>
            </w:pPr>
            <w:r>
              <w:rPr>
                <w:rFonts w:ascii="FrankRuehl" w:hAnsi="FrankRuehl" w:cs="FrankRuehl"/>
                <w:b/>
                <w:bCs/>
                <w:sz w:val="30"/>
                <w:szCs w:val="30"/>
                <w:rtl/>
              </w:rPr>
              <w:t>כב' ה</w:t>
            </w:r>
            <w:sdt>
              <w:sdtPr>
                <w:rPr>
                  <w:rFonts w:ascii="FrankRuehl" w:hAnsi="FrankRuehl" w:cs="FrankRuehl"/>
                  <w:sz w:val="30"/>
                  <w:szCs w:val="30"/>
                  <w:rtl/>
                </w:rPr>
                <w:alias w:val="1574"/>
                <w:tag w:val="1574"/>
                <w:id w:val="-554388586"/>
                <w:text w:multiLine="1"/>
              </w:sdtPr>
              <w:sdtEndPr/>
              <w:sdtContent>
                <w:r>
                  <w:rPr>
                    <w:rFonts w:ascii="FrankRuehl" w:hAnsi="FrankRuehl" w:cs="FrankRuehl"/>
                    <w:b/>
                    <w:bCs/>
                    <w:sz w:val="30"/>
                    <w:szCs w:val="30"/>
                    <w:rtl/>
                  </w:rPr>
                  <w:t>שופט</w:t>
                </w:r>
              </w:sdtContent>
            </w:sdt>
            <w:r>
              <w:rPr>
                <w:rFonts w:ascii="FrankRuehl" w:hAnsi="FrankRuehl" w:cs="FrankRuehl"/>
                <w:b/>
                <w:bCs/>
                <w:sz w:val="30"/>
                <w:szCs w:val="30"/>
                <w:rtl/>
              </w:rPr>
              <w:t xml:space="preserve"> </w:t>
            </w:r>
            <w:sdt>
              <w:sdtPr>
                <w:rPr>
                  <w:rFonts w:ascii="FrankRuehl" w:hAnsi="FrankRuehl" w:cs="FrankRuehl"/>
                  <w:sz w:val="30"/>
                  <w:szCs w:val="30"/>
                  <w:rtl/>
                </w:rPr>
                <w:alias w:val="1573"/>
                <w:tag w:val="1573"/>
                <w:id w:val="-570341039"/>
                <w:text w:multiLine="1"/>
              </w:sdtPr>
              <w:sdtEndPr/>
              <w:sdtContent>
                <w:r>
                  <w:rPr>
                    <w:rFonts w:ascii="FrankRuehl" w:hAnsi="FrankRuehl" w:cs="FrankRuehl"/>
                    <w:b/>
                    <w:bCs/>
                    <w:sz w:val="30"/>
                    <w:szCs w:val="30"/>
                    <w:rtl/>
                  </w:rPr>
                  <w:t>אילן סלע</w:t>
                </w:r>
              </w:sdtContent>
            </w:sdt>
          </w:p>
        </w:tc>
      </w:tr>
    </w:tbl>
    <w:p w:rsidR="00D508C1" w:rsidRDefault="00D508C1" w:rsidP="00D508C1">
      <w:pPr>
        <w:rPr>
          <w:rFonts w:ascii="FrankRuehl" w:hAnsi="FrankRuehl" w:cs="FrankRuehl"/>
          <w:sz w:val="30"/>
          <w:szCs w:val="30"/>
        </w:rPr>
      </w:pPr>
    </w:p>
    <w:tbl>
      <w:tblPr>
        <w:tblStyle w:val="ac"/>
        <w:bidiVisual/>
        <w:tblW w:w="8820" w:type="dxa"/>
        <w:jc w:val="center"/>
        <w:tblLook w:val="01E0" w:firstRow="1" w:lastRow="1" w:firstColumn="1" w:lastColumn="1" w:noHBand="0" w:noVBand="0"/>
      </w:tblPr>
      <w:tblGrid>
        <w:gridCol w:w="898"/>
        <w:gridCol w:w="6084"/>
        <w:gridCol w:w="1838"/>
      </w:tblGrid>
      <w:tr w:rsidR="00D508C1" w:rsidTr="00D508C1">
        <w:trPr>
          <w:trHeight w:val="355"/>
          <w:jc w:val="center"/>
        </w:trPr>
        <w:tc>
          <w:tcPr>
            <w:tcW w:w="853" w:type="dxa"/>
            <w:tcBorders>
              <w:top w:val="nil"/>
              <w:left w:val="nil"/>
              <w:bottom w:val="nil"/>
              <w:right w:val="nil"/>
            </w:tcBorders>
          </w:tcPr>
          <w:p w:rsidR="00D508C1" w:rsidRDefault="00D508C1">
            <w:pPr>
              <w:jc w:val="both"/>
              <w:rPr>
                <w:rFonts w:ascii="FrankRuehl" w:hAnsi="FrankRuehl" w:cs="FrankRuehl"/>
                <w:b/>
                <w:bCs/>
                <w:sz w:val="30"/>
                <w:szCs w:val="30"/>
                <w:rtl/>
              </w:rPr>
            </w:pPr>
          </w:p>
          <w:p w:rsidR="00D508C1" w:rsidRDefault="00D508C1">
            <w:pPr>
              <w:jc w:val="both"/>
              <w:rPr>
                <w:rFonts w:ascii="FrankRuehl" w:hAnsi="FrankRuehl" w:cs="FrankRuehl"/>
                <w:b/>
                <w:bCs/>
                <w:sz w:val="30"/>
                <w:szCs w:val="30"/>
                <w:rtl/>
              </w:rPr>
            </w:pPr>
            <w:r>
              <w:rPr>
                <w:rFonts w:ascii="FrankRuehl" w:hAnsi="FrankRuehl" w:cs="FrankRuehl"/>
                <w:b/>
                <w:bCs/>
                <w:sz w:val="30"/>
                <w:szCs w:val="30"/>
                <w:rtl/>
              </w:rPr>
              <w:t>בעניין:</w:t>
            </w:r>
          </w:p>
        </w:tc>
        <w:tc>
          <w:tcPr>
            <w:tcW w:w="6124" w:type="dxa"/>
            <w:tcBorders>
              <w:top w:val="nil"/>
              <w:left w:val="nil"/>
              <w:bottom w:val="nil"/>
              <w:right w:val="nil"/>
            </w:tcBorders>
          </w:tcPr>
          <w:p w:rsidR="00D508C1" w:rsidRDefault="00D508C1">
            <w:pPr>
              <w:rPr>
                <w:rFonts w:ascii="FrankRuehl" w:hAnsi="FrankRuehl" w:cs="FrankRuehl"/>
                <w:b/>
                <w:bCs/>
                <w:sz w:val="30"/>
                <w:szCs w:val="30"/>
                <w:rtl/>
              </w:rPr>
            </w:pPr>
          </w:p>
          <w:p w:rsidR="00D508C1" w:rsidRDefault="007B6265" w:rsidP="00D508C1">
            <w:pPr>
              <w:rPr>
                <w:rFonts w:ascii="FrankRuehl" w:hAnsi="FrankRuehl" w:cs="FrankRuehl"/>
                <w:b/>
                <w:bCs/>
                <w:sz w:val="30"/>
                <w:szCs w:val="30"/>
              </w:rPr>
            </w:pPr>
            <w:sdt>
              <w:sdtPr>
                <w:rPr>
                  <w:rFonts w:ascii="FrankRuehl" w:hAnsi="FrankRuehl" w:cs="FrankRuehl"/>
                  <w:b/>
                  <w:bCs/>
                  <w:sz w:val="30"/>
                  <w:szCs w:val="30"/>
                  <w:rtl/>
                </w:rPr>
                <w:alias w:val="1478"/>
                <w:tag w:val="1478"/>
                <w:id w:val="-351793796"/>
                <w:text w:multiLine="1"/>
              </w:sdtPr>
              <w:sdtEndPr/>
              <w:sdtContent>
                <w:r w:rsidR="00D508C1">
                  <w:rPr>
                    <w:rFonts w:ascii="FrankRuehl" w:hAnsi="FrankRuehl" w:cs="FrankRuehl"/>
                    <w:b/>
                    <w:bCs/>
                    <w:sz w:val="30"/>
                    <w:szCs w:val="30"/>
                    <w:rtl/>
                  </w:rPr>
                  <w:t>מדינת ישראל</w:t>
                </w:r>
                <w:r w:rsidR="00D508C1">
                  <w:rPr>
                    <w:rFonts w:ascii="FrankRuehl" w:hAnsi="FrankRuehl" w:cs="FrankRuehl"/>
                    <w:b/>
                    <w:bCs/>
                    <w:sz w:val="30"/>
                    <w:szCs w:val="30"/>
                    <w:rtl/>
                  </w:rPr>
                  <w:br/>
                  <w:t>באמצעות פרקליטות מחוז ירושלים (פלילי),</w:t>
                </w:r>
                <w:r w:rsidR="00D508C1">
                  <w:rPr>
                    <w:rFonts w:ascii="FrankRuehl" w:hAnsi="FrankRuehl" w:cs="FrankRuehl"/>
                    <w:b/>
                    <w:bCs/>
                    <w:sz w:val="30"/>
                    <w:szCs w:val="30"/>
                    <w:rtl/>
                  </w:rPr>
                  <w:br/>
                  <w:t>ע"י עו"ד שחר מלול</w:t>
                </w:r>
              </w:sdtContent>
            </w:sdt>
          </w:p>
        </w:tc>
        <w:tc>
          <w:tcPr>
            <w:tcW w:w="1843" w:type="dxa"/>
            <w:tcBorders>
              <w:top w:val="nil"/>
              <w:left w:val="nil"/>
              <w:bottom w:val="nil"/>
              <w:right w:val="nil"/>
            </w:tcBorders>
          </w:tcPr>
          <w:p w:rsidR="00D508C1" w:rsidRDefault="00D508C1">
            <w:pPr>
              <w:jc w:val="both"/>
              <w:rPr>
                <w:rFonts w:ascii="FrankRuehl" w:hAnsi="FrankRuehl" w:cs="FrankRuehl"/>
                <w:b/>
                <w:bCs/>
                <w:sz w:val="30"/>
                <w:szCs w:val="30"/>
                <w:rtl/>
              </w:rPr>
            </w:pPr>
          </w:p>
          <w:p w:rsidR="00D508C1" w:rsidRDefault="00D508C1">
            <w:pPr>
              <w:jc w:val="both"/>
              <w:rPr>
                <w:rFonts w:ascii="FrankRuehl" w:hAnsi="FrankRuehl" w:cs="FrankRuehl"/>
                <w:b/>
                <w:bCs/>
                <w:sz w:val="30"/>
                <w:szCs w:val="30"/>
                <w:rtl/>
              </w:rPr>
            </w:pPr>
          </w:p>
          <w:p w:rsidR="00D508C1" w:rsidRDefault="00D508C1">
            <w:pPr>
              <w:jc w:val="both"/>
              <w:rPr>
                <w:rFonts w:ascii="FrankRuehl" w:hAnsi="FrankRuehl" w:cs="FrankRuehl"/>
                <w:b/>
                <w:bCs/>
                <w:sz w:val="30"/>
                <w:szCs w:val="30"/>
                <w:u w:val="single"/>
                <w:rtl/>
              </w:rPr>
            </w:pPr>
          </w:p>
          <w:p w:rsidR="00D508C1" w:rsidRDefault="00D508C1">
            <w:pPr>
              <w:jc w:val="both"/>
              <w:rPr>
                <w:rFonts w:ascii="FrankRuehl" w:hAnsi="FrankRuehl" w:cs="FrankRuehl"/>
                <w:b/>
                <w:bCs/>
                <w:sz w:val="30"/>
                <w:szCs w:val="30"/>
                <w:u w:val="single"/>
                <w:rtl/>
              </w:rPr>
            </w:pPr>
            <w:r>
              <w:rPr>
                <w:rFonts w:ascii="FrankRuehl" w:hAnsi="FrankRuehl" w:cs="FrankRuehl"/>
                <w:b/>
                <w:bCs/>
                <w:sz w:val="30"/>
                <w:szCs w:val="30"/>
                <w:u w:val="single"/>
                <w:rtl/>
              </w:rPr>
              <w:t>המאשימה</w:t>
            </w:r>
          </w:p>
        </w:tc>
      </w:tr>
      <w:tr w:rsidR="00D508C1" w:rsidTr="00D508C1">
        <w:trPr>
          <w:trHeight w:val="355"/>
          <w:jc w:val="center"/>
        </w:trPr>
        <w:tc>
          <w:tcPr>
            <w:tcW w:w="853" w:type="dxa"/>
            <w:tcBorders>
              <w:top w:val="nil"/>
              <w:left w:val="nil"/>
              <w:bottom w:val="nil"/>
              <w:right w:val="nil"/>
            </w:tcBorders>
          </w:tcPr>
          <w:p w:rsidR="00D508C1" w:rsidRDefault="00D508C1">
            <w:pPr>
              <w:jc w:val="both"/>
              <w:rPr>
                <w:rFonts w:ascii="FrankRuehl" w:hAnsi="FrankRuehl" w:cs="FrankRuehl"/>
                <w:b/>
                <w:bCs/>
                <w:sz w:val="30"/>
                <w:szCs w:val="30"/>
                <w:rtl/>
              </w:rPr>
            </w:pPr>
          </w:p>
        </w:tc>
        <w:tc>
          <w:tcPr>
            <w:tcW w:w="6124" w:type="dxa"/>
            <w:tcBorders>
              <w:top w:val="nil"/>
              <w:left w:val="nil"/>
              <w:bottom w:val="nil"/>
              <w:right w:val="nil"/>
            </w:tcBorders>
          </w:tcPr>
          <w:p w:rsidR="00D508C1" w:rsidRDefault="00D508C1">
            <w:pPr>
              <w:jc w:val="both"/>
              <w:rPr>
                <w:rFonts w:ascii="FrankRuehl" w:hAnsi="FrankRuehl" w:cs="FrankRuehl"/>
                <w:b/>
                <w:bCs/>
                <w:sz w:val="30"/>
                <w:szCs w:val="30"/>
              </w:rPr>
            </w:pPr>
          </w:p>
        </w:tc>
        <w:tc>
          <w:tcPr>
            <w:tcW w:w="1843" w:type="dxa"/>
            <w:tcBorders>
              <w:top w:val="nil"/>
              <w:left w:val="nil"/>
              <w:bottom w:val="nil"/>
              <w:right w:val="nil"/>
            </w:tcBorders>
          </w:tcPr>
          <w:p w:rsidR="00D508C1" w:rsidRDefault="00D508C1">
            <w:pPr>
              <w:rPr>
                <w:rFonts w:ascii="FrankRuehl" w:hAnsi="FrankRuehl" w:cs="FrankRuehl"/>
                <w:b/>
                <w:bCs/>
                <w:sz w:val="30"/>
                <w:szCs w:val="30"/>
                <w:rtl/>
              </w:rPr>
            </w:pPr>
          </w:p>
        </w:tc>
      </w:tr>
      <w:tr w:rsidR="00D508C1" w:rsidTr="00D508C1">
        <w:trPr>
          <w:trHeight w:val="355"/>
          <w:jc w:val="center"/>
        </w:trPr>
        <w:tc>
          <w:tcPr>
            <w:tcW w:w="853" w:type="dxa"/>
            <w:tcBorders>
              <w:top w:val="nil"/>
              <w:left w:val="nil"/>
              <w:bottom w:val="nil"/>
              <w:right w:val="nil"/>
            </w:tcBorders>
          </w:tcPr>
          <w:p w:rsidR="00D508C1" w:rsidRDefault="00D508C1">
            <w:pPr>
              <w:jc w:val="both"/>
              <w:rPr>
                <w:rFonts w:ascii="FrankRuehl" w:hAnsi="FrankRuehl" w:cs="FrankRuehl"/>
                <w:b/>
                <w:bCs/>
                <w:sz w:val="30"/>
                <w:szCs w:val="30"/>
                <w:rtl/>
              </w:rPr>
            </w:pPr>
          </w:p>
        </w:tc>
        <w:tc>
          <w:tcPr>
            <w:tcW w:w="7967" w:type="dxa"/>
            <w:gridSpan w:val="2"/>
            <w:tcBorders>
              <w:top w:val="nil"/>
              <w:left w:val="nil"/>
              <w:bottom w:val="nil"/>
              <w:right w:val="nil"/>
            </w:tcBorders>
          </w:tcPr>
          <w:p w:rsidR="00D508C1" w:rsidRDefault="00D508C1">
            <w:pPr>
              <w:jc w:val="center"/>
              <w:rPr>
                <w:rFonts w:ascii="FrankRuehl" w:hAnsi="FrankRuehl" w:cs="FrankRuehl"/>
                <w:b/>
                <w:bCs/>
                <w:sz w:val="30"/>
                <w:szCs w:val="30"/>
                <w:rtl/>
              </w:rPr>
            </w:pPr>
          </w:p>
          <w:p w:rsidR="00D508C1" w:rsidRDefault="00D508C1">
            <w:pPr>
              <w:jc w:val="center"/>
              <w:rPr>
                <w:rFonts w:ascii="FrankRuehl" w:hAnsi="FrankRuehl" w:cs="FrankRuehl"/>
                <w:b/>
                <w:bCs/>
                <w:sz w:val="30"/>
                <w:szCs w:val="30"/>
                <w:rtl/>
              </w:rPr>
            </w:pPr>
            <w:r>
              <w:rPr>
                <w:rFonts w:ascii="FrankRuehl" w:hAnsi="FrankRuehl" w:cs="FrankRuehl"/>
                <w:b/>
                <w:bCs/>
                <w:sz w:val="30"/>
                <w:szCs w:val="30"/>
                <w:rtl/>
              </w:rPr>
              <w:t>נ ג ד</w:t>
            </w:r>
          </w:p>
          <w:p w:rsidR="00D508C1" w:rsidRDefault="00D508C1">
            <w:pPr>
              <w:jc w:val="both"/>
              <w:rPr>
                <w:rFonts w:ascii="FrankRuehl" w:hAnsi="FrankRuehl" w:cs="FrankRuehl"/>
                <w:b/>
                <w:bCs/>
                <w:sz w:val="30"/>
                <w:szCs w:val="30"/>
                <w:rtl/>
              </w:rPr>
            </w:pPr>
          </w:p>
        </w:tc>
      </w:tr>
      <w:tr w:rsidR="00D508C1" w:rsidTr="00D508C1">
        <w:trPr>
          <w:trHeight w:val="355"/>
          <w:jc w:val="center"/>
        </w:trPr>
        <w:tc>
          <w:tcPr>
            <w:tcW w:w="853" w:type="dxa"/>
            <w:tcBorders>
              <w:top w:val="nil"/>
              <w:left w:val="nil"/>
              <w:bottom w:val="nil"/>
              <w:right w:val="nil"/>
            </w:tcBorders>
          </w:tcPr>
          <w:p w:rsidR="00D508C1" w:rsidRDefault="00D508C1">
            <w:pPr>
              <w:jc w:val="both"/>
              <w:rPr>
                <w:rFonts w:ascii="FrankRuehl" w:hAnsi="FrankRuehl" w:cs="FrankRuehl"/>
                <w:b/>
                <w:bCs/>
                <w:sz w:val="30"/>
                <w:szCs w:val="30"/>
                <w:rtl/>
              </w:rPr>
            </w:pPr>
          </w:p>
        </w:tc>
        <w:tc>
          <w:tcPr>
            <w:tcW w:w="6124" w:type="dxa"/>
            <w:tcBorders>
              <w:top w:val="nil"/>
              <w:left w:val="nil"/>
              <w:bottom w:val="nil"/>
              <w:right w:val="nil"/>
            </w:tcBorders>
            <w:hideMark/>
          </w:tcPr>
          <w:p w:rsidR="00D508C1" w:rsidRDefault="007B6265">
            <w:pPr>
              <w:rPr>
                <w:rFonts w:ascii="FrankRuehl" w:hAnsi="FrankRuehl" w:cs="FrankRuehl"/>
                <w:b/>
                <w:bCs/>
                <w:sz w:val="30"/>
                <w:szCs w:val="30"/>
              </w:rPr>
            </w:pPr>
            <w:sdt>
              <w:sdtPr>
                <w:rPr>
                  <w:rFonts w:ascii="FrankRuehl" w:hAnsi="FrankRuehl" w:cs="FrankRuehl"/>
                  <w:b/>
                  <w:bCs/>
                  <w:sz w:val="30"/>
                  <w:szCs w:val="30"/>
                  <w:rtl/>
                </w:rPr>
                <w:alias w:val="1486"/>
                <w:tag w:val="1486"/>
                <w:id w:val="-1956254020"/>
                <w:text w:multiLine="1"/>
              </w:sdtPr>
              <w:sdtEndPr/>
              <w:sdtContent>
                <w:r w:rsidR="00D508C1">
                  <w:rPr>
                    <w:rFonts w:ascii="FrankRuehl" w:hAnsi="FrankRuehl" w:cs="FrankRuehl"/>
                    <w:b/>
                    <w:bCs/>
                    <w:sz w:val="30"/>
                    <w:szCs w:val="30"/>
                    <w:rtl/>
                  </w:rPr>
                  <w:t>ליאור סולומון</w:t>
                </w:r>
                <w:r w:rsidR="00D508C1">
                  <w:rPr>
                    <w:rFonts w:ascii="FrankRuehl" w:hAnsi="FrankRuehl" w:cs="FrankRuehl"/>
                    <w:b/>
                    <w:bCs/>
                    <w:sz w:val="30"/>
                    <w:szCs w:val="30"/>
                    <w:rtl/>
                  </w:rPr>
                  <w:br/>
                  <w:t xml:space="preserve">באמצעות ב"כ עוה"ד אלי פוקסברומר ותהילה פרץ-פינטו </w:t>
                </w:r>
              </w:sdtContent>
            </w:sdt>
          </w:p>
        </w:tc>
        <w:tc>
          <w:tcPr>
            <w:tcW w:w="1843" w:type="dxa"/>
            <w:tcBorders>
              <w:top w:val="nil"/>
              <w:left w:val="nil"/>
              <w:bottom w:val="nil"/>
              <w:right w:val="nil"/>
            </w:tcBorders>
          </w:tcPr>
          <w:p w:rsidR="00D508C1" w:rsidRDefault="00D508C1">
            <w:pPr>
              <w:jc w:val="right"/>
              <w:rPr>
                <w:rFonts w:ascii="FrankRuehl" w:hAnsi="FrankRuehl" w:cs="FrankRuehl"/>
                <w:b/>
                <w:bCs/>
                <w:sz w:val="30"/>
                <w:szCs w:val="30"/>
                <w:rtl/>
              </w:rPr>
            </w:pPr>
          </w:p>
          <w:p w:rsidR="00D508C1" w:rsidRDefault="00D508C1">
            <w:pPr>
              <w:rPr>
                <w:rFonts w:ascii="FrankRuehl" w:hAnsi="FrankRuehl" w:cs="FrankRuehl"/>
                <w:b/>
                <w:bCs/>
                <w:sz w:val="30"/>
                <w:szCs w:val="30"/>
                <w:u w:val="single"/>
                <w:rtl/>
              </w:rPr>
            </w:pPr>
            <w:r>
              <w:rPr>
                <w:rFonts w:ascii="FrankRuehl" w:hAnsi="FrankRuehl" w:cs="FrankRuehl"/>
                <w:b/>
                <w:bCs/>
                <w:sz w:val="30"/>
                <w:szCs w:val="30"/>
                <w:u w:val="single"/>
                <w:rtl/>
              </w:rPr>
              <w:t>הנאשם</w:t>
            </w:r>
          </w:p>
        </w:tc>
      </w:tr>
      <w:tr w:rsidR="00D508C1" w:rsidTr="00D508C1">
        <w:trPr>
          <w:trHeight w:val="355"/>
          <w:jc w:val="center"/>
        </w:trPr>
        <w:tc>
          <w:tcPr>
            <w:tcW w:w="853" w:type="dxa"/>
            <w:tcBorders>
              <w:top w:val="nil"/>
              <w:left w:val="nil"/>
              <w:bottom w:val="nil"/>
              <w:right w:val="nil"/>
            </w:tcBorders>
          </w:tcPr>
          <w:p w:rsidR="00D508C1" w:rsidRDefault="00D508C1">
            <w:pPr>
              <w:jc w:val="both"/>
              <w:rPr>
                <w:rFonts w:ascii="FrankRuehl" w:hAnsi="FrankRuehl" w:cs="FrankRuehl"/>
                <w:b/>
                <w:bCs/>
                <w:sz w:val="28"/>
                <w:szCs w:val="28"/>
                <w:rtl/>
              </w:rPr>
            </w:pPr>
          </w:p>
        </w:tc>
        <w:tc>
          <w:tcPr>
            <w:tcW w:w="6124" w:type="dxa"/>
            <w:tcBorders>
              <w:top w:val="nil"/>
              <w:left w:val="nil"/>
              <w:bottom w:val="nil"/>
              <w:right w:val="nil"/>
            </w:tcBorders>
          </w:tcPr>
          <w:p w:rsidR="00D508C1" w:rsidRDefault="00D508C1">
            <w:pPr>
              <w:jc w:val="both"/>
              <w:rPr>
                <w:rFonts w:ascii="FrankRuehl" w:hAnsi="FrankRuehl" w:cs="FrankRuehl"/>
                <w:b/>
                <w:bCs/>
                <w:sz w:val="28"/>
                <w:szCs w:val="28"/>
              </w:rPr>
            </w:pPr>
          </w:p>
        </w:tc>
        <w:tc>
          <w:tcPr>
            <w:tcW w:w="1843" w:type="dxa"/>
            <w:tcBorders>
              <w:top w:val="nil"/>
              <w:left w:val="nil"/>
              <w:bottom w:val="nil"/>
              <w:right w:val="nil"/>
            </w:tcBorders>
          </w:tcPr>
          <w:p w:rsidR="00D508C1" w:rsidRDefault="00D508C1">
            <w:pPr>
              <w:rPr>
                <w:rFonts w:ascii="FrankRuehl" w:hAnsi="FrankRuehl" w:cs="FrankRuehl"/>
                <w:b/>
                <w:bCs/>
                <w:sz w:val="28"/>
                <w:szCs w:val="28"/>
                <w:rtl/>
              </w:rPr>
            </w:pPr>
          </w:p>
        </w:tc>
      </w:tr>
    </w:tbl>
    <w:p w:rsidR="00D508C1" w:rsidRDefault="00D508C1" w:rsidP="00D508C1">
      <w:pPr>
        <w:rPr>
          <w:rFonts w:ascii="FrankRuehl" w:hAnsi="FrankRuehl" w:cs="FrankRuehl"/>
          <w:sz w:val="28"/>
          <w:szCs w:val="28"/>
          <w:rtl/>
        </w:rPr>
      </w:pPr>
    </w:p>
    <w:p w:rsidR="00D508C1" w:rsidRDefault="00D508C1" w:rsidP="00D508C1">
      <w:pPr>
        <w:rPr>
          <w:rFonts w:ascii="FrankRuehl" w:hAnsi="FrankRuehl" w:cs="FrankRuehl"/>
          <w:sz w:val="28"/>
          <w:szCs w:val="28"/>
        </w:rPr>
      </w:pPr>
    </w:p>
    <w:tbl>
      <w:tblPr>
        <w:tblStyle w:val="ac"/>
        <w:bidiVisual/>
        <w:tblW w:w="8820" w:type="dxa"/>
        <w:jc w:val="center"/>
        <w:tblLook w:val="01E0" w:firstRow="1" w:lastRow="1" w:firstColumn="1" w:lastColumn="1" w:noHBand="0" w:noVBand="0"/>
      </w:tblPr>
      <w:tblGrid>
        <w:gridCol w:w="8820"/>
      </w:tblGrid>
      <w:tr w:rsidR="00D508C1" w:rsidTr="00D508C1">
        <w:trPr>
          <w:trHeight w:val="355"/>
          <w:jc w:val="center"/>
        </w:trPr>
        <w:tc>
          <w:tcPr>
            <w:tcW w:w="8820" w:type="dxa"/>
            <w:tcBorders>
              <w:top w:val="nil"/>
              <w:left w:val="nil"/>
              <w:bottom w:val="nil"/>
              <w:right w:val="nil"/>
            </w:tcBorders>
          </w:tcPr>
          <w:p w:rsidR="00D508C1" w:rsidRDefault="00D508C1" w:rsidP="00D508C1">
            <w:pPr>
              <w:jc w:val="center"/>
              <w:rPr>
                <w:rFonts w:ascii="FrankRuehl" w:hAnsi="FrankRuehl" w:cs="FrankRuehl"/>
                <w:b/>
                <w:bCs/>
                <w:sz w:val="36"/>
                <w:szCs w:val="36"/>
                <w:u w:val="single"/>
                <w:rtl/>
              </w:rPr>
            </w:pPr>
            <w:r>
              <w:rPr>
                <w:rFonts w:ascii="FrankRuehl" w:hAnsi="FrankRuehl" w:cs="FrankRuehl" w:hint="cs"/>
                <w:b/>
                <w:bCs/>
                <w:sz w:val="36"/>
                <w:szCs w:val="36"/>
                <w:u w:val="single"/>
                <w:rtl/>
              </w:rPr>
              <w:t xml:space="preserve">גזר </w:t>
            </w:r>
            <w:r>
              <w:rPr>
                <w:rFonts w:ascii="FrankRuehl" w:hAnsi="FrankRuehl" w:cs="FrankRuehl"/>
                <w:b/>
                <w:bCs/>
                <w:sz w:val="36"/>
                <w:szCs w:val="36"/>
                <w:u w:val="single"/>
                <w:rtl/>
              </w:rPr>
              <w:t xml:space="preserve">דין </w:t>
            </w:r>
          </w:p>
          <w:p w:rsidR="00D508C1" w:rsidRDefault="00D508C1" w:rsidP="00D508C1">
            <w:pPr>
              <w:rPr>
                <w:rFonts w:ascii="FrankRuehl" w:hAnsi="FrankRuehl" w:cs="FrankRuehl"/>
                <w:sz w:val="30"/>
                <w:szCs w:val="30"/>
                <w:u w:val="single"/>
                <w:rtl/>
              </w:rPr>
            </w:pPr>
          </w:p>
        </w:tc>
      </w:tr>
    </w:tbl>
    <w:p w:rsidR="00D508C1" w:rsidRDefault="00D508C1" w:rsidP="00D508C1">
      <w:pPr>
        <w:rPr>
          <w:rFonts w:ascii="FrankRuehl" w:hAnsi="FrankRuehl" w:cs="FrankRuehl"/>
          <w:sz w:val="28"/>
          <w:szCs w:val="28"/>
          <w:rtl/>
        </w:rPr>
      </w:pPr>
    </w:p>
    <w:p w:rsidR="00D508C1" w:rsidRDefault="00D508C1" w:rsidP="00D508C1">
      <w:pPr>
        <w:spacing w:line="360" w:lineRule="auto"/>
        <w:jc w:val="both"/>
        <w:rPr>
          <w:rFonts w:ascii="FrankRuehl" w:hAnsi="FrankRuehl" w:cs="FrankRuehl"/>
          <w:sz w:val="28"/>
          <w:szCs w:val="28"/>
          <w:rtl/>
        </w:rPr>
      </w:pPr>
    </w:p>
    <w:p w:rsidR="00A40F30" w:rsidRPr="00A40F30" w:rsidRDefault="00A40F30" w:rsidP="0036499E">
      <w:pPr>
        <w:spacing w:line="360" w:lineRule="auto"/>
        <w:jc w:val="both"/>
        <w:rPr>
          <w:rFonts w:ascii="FrankRuehl" w:hAnsi="FrankRuehl" w:cs="FrankRuehl"/>
          <w:b/>
          <w:bCs/>
          <w:sz w:val="28"/>
          <w:szCs w:val="28"/>
          <w:u w:val="single"/>
          <w:rtl/>
        </w:rPr>
      </w:pPr>
      <w:r w:rsidRPr="00A40F30">
        <w:rPr>
          <w:rFonts w:ascii="FrankRuehl" w:hAnsi="FrankRuehl" w:cs="FrankRuehl" w:hint="cs"/>
          <w:b/>
          <w:bCs/>
          <w:sz w:val="28"/>
          <w:szCs w:val="28"/>
          <w:u w:val="single"/>
          <w:rtl/>
        </w:rPr>
        <w:t>הכרעת הדין</w:t>
      </w:r>
    </w:p>
    <w:p w:rsidR="00D508C1" w:rsidRDefault="00A40F30" w:rsidP="00B01051">
      <w:pPr>
        <w:spacing w:line="360" w:lineRule="auto"/>
        <w:jc w:val="both"/>
        <w:rPr>
          <w:rFonts w:ascii="FrankRuehl" w:hAnsi="FrankRuehl" w:cs="FrankRuehl"/>
          <w:sz w:val="28"/>
          <w:szCs w:val="28"/>
          <w:rtl/>
        </w:rPr>
      </w:pPr>
      <w:r>
        <w:rPr>
          <w:rFonts w:ascii="FrankRuehl" w:hAnsi="FrankRuehl" w:cs="FrankRuehl" w:hint="cs"/>
          <w:sz w:val="28"/>
          <w:szCs w:val="28"/>
          <w:rtl/>
        </w:rPr>
        <w:t>1.</w:t>
      </w:r>
      <w:r>
        <w:rPr>
          <w:rFonts w:ascii="FrankRuehl" w:hAnsi="FrankRuehl" w:cs="FrankRuehl" w:hint="cs"/>
          <w:sz w:val="28"/>
          <w:szCs w:val="28"/>
          <w:rtl/>
        </w:rPr>
        <w:tab/>
      </w:r>
      <w:r w:rsidR="00D508C1">
        <w:rPr>
          <w:rFonts w:ascii="FrankRuehl" w:hAnsi="FrankRuehl" w:cs="FrankRuehl" w:hint="cs"/>
          <w:sz w:val="28"/>
          <w:szCs w:val="28"/>
          <w:rtl/>
        </w:rPr>
        <w:t>הנ</w:t>
      </w:r>
      <w:r w:rsidR="00D508C1">
        <w:rPr>
          <w:rFonts w:ascii="FrankRuehl" w:hAnsi="FrankRuehl" w:cs="FrankRuehl"/>
          <w:sz w:val="28"/>
          <w:szCs w:val="28"/>
          <w:rtl/>
        </w:rPr>
        <w:t xml:space="preserve">אשם </w:t>
      </w:r>
      <w:r w:rsidR="00D508C1">
        <w:rPr>
          <w:rFonts w:ascii="FrankRuehl" w:hAnsi="FrankRuehl" w:cs="FrankRuehl" w:hint="cs"/>
          <w:sz w:val="28"/>
          <w:szCs w:val="28"/>
          <w:rtl/>
        </w:rPr>
        <w:t xml:space="preserve">הורשע, לאחר ניהול הוכחות, </w:t>
      </w:r>
      <w:r w:rsidR="00D508C1">
        <w:rPr>
          <w:rFonts w:ascii="FrankRuehl" w:hAnsi="FrankRuehl" w:cs="FrankRuehl"/>
          <w:sz w:val="28"/>
          <w:szCs w:val="28"/>
          <w:rtl/>
        </w:rPr>
        <w:t xml:space="preserve">בשלוש עבירות </w:t>
      </w:r>
      <w:r w:rsidR="006720F5">
        <w:rPr>
          <w:rFonts w:ascii="FrankRuehl" w:hAnsi="FrankRuehl" w:cs="FrankRuehl" w:hint="cs"/>
          <w:sz w:val="28"/>
          <w:szCs w:val="28"/>
          <w:rtl/>
        </w:rPr>
        <w:t xml:space="preserve">של לקיחת </w:t>
      </w:r>
      <w:r w:rsidR="00D508C1">
        <w:rPr>
          <w:rFonts w:ascii="FrankRuehl" w:hAnsi="FrankRuehl" w:cs="FrankRuehl"/>
          <w:sz w:val="28"/>
          <w:szCs w:val="28"/>
          <w:rtl/>
        </w:rPr>
        <w:t>שוחד</w:t>
      </w:r>
      <w:r w:rsidR="006720F5">
        <w:rPr>
          <w:rFonts w:ascii="FrankRuehl" w:hAnsi="FrankRuehl" w:cs="FrankRuehl" w:hint="cs"/>
          <w:sz w:val="28"/>
          <w:szCs w:val="28"/>
          <w:rtl/>
        </w:rPr>
        <w:t xml:space="preserve"> </w:t>
      </w:r>
      <w:r w:rsidR="006720F5">
        <w:rPr>
          <w:rFonts w:ascii="FrankRuehl" w:eastAsia="Calibri" w:hAnsi="FrankRuehl" w:cs="FrankRuehl"/>
          <w:sz w:val="28"/>
          <w:szCs w:val="28"/>
          <w:rtl/>
        </w:rPr>
        <w:t>לפי סעיף</w:t>
      </w:r>
      <w:r w:rsidR="00CB4A88">
        <w:rPr>
          <w:rFonts w:ascii="FrankRuehl" w:eastAsia="Calibri" w:hAnsi="FrankRuehl" w:cs="FrankRuehl" w:hint="cs"/>
          <w:sz w:val="28"/>
          <w:szCs w:val="28"/>
          <w:rtl/>
        </w:rPr>
        <w:t xml:space="preserve"> 290 </w:t>
      </w:r>
      <w:r w:rsidR="006720F5">
        <w:rPr>
          <w:rFonts w:ascii="FrankRuehl" w:eastAsia="Calibri" w:hAnsi="FrankRuehl" w:cs="FrankRuehl"/>
          <w:sz w:val="28"/>
          <w:szCs w:val="28"/>
          <w:rtl/>
        </w:rPr>
        <w:t>לחוק העונשין</w:t>
      </w:r>
      <w:r w:rsidR="006720F5">
        <w:rPr>
          <w:rFonts w:ascii="FrankRuehl" w:hAnsi="FrankRuehl" w:cs="FrankRuehl" w:hint="cs"/>
          <w:sz w:val="28"/>
          <w:szCs w:val="28"/>
          <w:rtl/>
        </w:rPr>
        <w:t>, התשל"ז-1977 (להלן: "חוק</w:t>
      </w:r>
      <w:r w:rsidR="00CB4A88">
        <w:rPr>
          <w:rFonts w:ascii="FrankRuehl" w:hAnsi="FrankRuehl" w:cs="FrankRuehl" w:hint="cs"/>
          <w:sz w:val="28"/>
          <w:szCs w:val="28"/>
          <w:rtl/>
        </w:rPr>
        <w:t xml:space="preserve"> העונשין</w:t>
      </w:r>
      <w:r w:rsidR="006720F5">
        <w:rPr>
          <w:rFonts w:ascii="FrankRuehl" w:hAnsi="FrankRuehl" w:cs="FrankRuehl" w:hint="cs"/>
          <w:sz w:val="28"/>
          <w:szCs w:val="28"/>
          <w:rtl/>
        </w:rPr>
        <w:t>")</w:t>
      </w:r>
      <w:r w:rsidR="00CB4A88">
        <w:rPr>
          <w:rFonts w:ascii="FrankRuehl" w:hAnsi="FrankRuehl" w:cs="FrankRuehl" w:hint="cs"/>
          <w:sz w:val="28"/>
          <w:szCs w:val="28"/>
          <w:rtl/>
        </w:rPr>
        <w:t xml:space="preserve"> </w:t>
      </w:r>
      <w:r w:rsidR="0036499E">
        <w:rPr>
          <w:rFonts w:ascii="FrankRuehl" w:hAnsi="FrankRuehl" w:cs="FrankRuehl" w:hint="cs"/>
          <w:sz w:val="28"/>
          <w:szCs w:val="28"/>
          <w:rtl/>
        </w:rPr>
        <w:t xml:space="preserve">בשתיים מהן </w:t>
      </w:r>
      <w:r w:rsidR="00CB4A88">
        <w:rPr>
          <w:rFonts w:ascii="FrankRuehl" w:hAnsi="FrankRuehl" w:cs="FrankRuehl" w:hint="cs"/>
          <w:sz w:val="28"/>
          <w:szCs w:val="28"/>
          <w:rtl/>
        </w:rPr>
        <w:t>בנסיבות סעיף 294(א) לחוק</w:t>
      </w:r>
      <w:r w:rsidR="0036499E">
        <w:rPr>
          <w:rFonts w:ascii="FrankRuehl" w:hAnsi="FrankRuehl" w:cs="FrankRuehl" w:hint="cs"/>
          <w:sz w:val="28"/>
          <w:szCs w:val="28"/>
          <w:rtl/>
        </w:rPr>
        <w:t xml:space="preserve">. עבירות אלו </w:t>
      </w:r>
      <w:r w:rsidR="00D508C1">
        <w:rPr>
          <w:rFonts w:ascii="FrankRuehl" w:hAnsi="FrankRuehl" w:cs="FrankRuehl"/>
          <w:sz w:val="28"/>
          <w:szCs w:val="28"/>
          <w:rtl/>
        </w:rPr>
        <w:t>יוחסו ל</w:t>
      </w:r>
      <w:r w:rsidR="0036499E">
        <w:rPr>
          <w:rFonts w:ascii="FrankRuehl" w:hAnsi="FrankRuehl" w:cs="FrankRuehl" w:hint="cs"/>
          <w:sz w:val="28"/>
          <w:szCs w:val="28"/>
          <w:rtl/>
        </w:rPr>
        <w:t>נאשם</w:t>
      </w:r>
      <w:r w:rsidR="00D508C1">
        <w:rPr>
          <w:rFonts w:ascii="FrankRuehl" w:hAnsi="FrankRuehl" w:cs="FrankRuehl"/>
          <w:sz w:val="28"/>
          <w:szCs w:val="28"/>
          <w:rtl/>
        </w:rPr>
        <w:t xml:space="preserve"> ב</w:t>
      </w:r>
      <w:r w:rsidR="00D508C1">
        <w:rPr>
          <w:rFonts w:ascii="FrankRuehl" w:hAnsi="FrankRuehl" w:cs="FrankRuehl" w:hint="cs"/>
          <w:sz w:val="28"/>
          <w:szCs w:val="28"/>
          <w:rtl/>
        </w:rPr>
        <w:t>מסגרת שלושה אישומים שונים (</w:t>
      </w:r>
      <w:r w:rsidR="00D508C1">
        <w:rPr>
          <w:rFonts w:ascii="FrankRuehl" w:hAnsi="FrankRuehl" w:cs="FrankRuehl"/>
          <w:sz w:val="28"/>
          <w:szCs w:val="28"/>
          <w:rtl/>
        </w:rPr>
        <w:t>השני, השלישי והחמישי</w:t>
      </w:r>
      <w:r w:rsidR="00D508C1">
        <w:rPr>
          <w:rFonts w:ascii="FrankRuehl" w:hAnsi="FrankRuehl" w:cs="FrankRuehl" w:hint="cs"/>
          <w:sz w:val="28"/>
          <w:szCs w:val="28"/>
          <w:rtl/>
        </w:rPr>
        <w:t xml:space="preserve"> שבכתב האישום</w:t>
      </w:r>
      <w:r w:rsidR="00D508C1">
        <w:rPr>
          <w:rFonts w:ascii="FrankRuehl" w:hAnsi="FrankRuehl" w:cs="FrankRuehl"/>
          <w:sz w:val="28"/>
          <w:szCs w:val="28"/>
          <w:rtl/>
        </w:rPr>
        <w:t>)</w:t>
      </w:r>
      <w:r w:rsidR="0036499E">
        <w:rPr>
          <w:rFonts w:ascii="FrankRuehl" w:hAnsi="FrankRuehl" w:cs="FrankRuehl" w:hint="cs"/>
          <w:sz w:val="28"/>
          <w:szCs w:val="28"/>
          <w:rtl/>
        </w:rPr>
        <w:t>. בנוסף, הורשע הנאשם</w:t>
      </w:r>
      <w:r w:rsidR="00D508C1">
        <w:rPr>
          <w:rFonts w:ascii="FrankRuehl" w:hAnsi="FrankRuehl" w:cs="FrankRuehl"/>
          <w:sz w:val="28"/>
          <w:szCs w:val="28"/>
          <w:rtl/>
        </w:rPr>
        <w:t xml:space="preserve"> בעבירה של פגיעה בפרטיות</w:t>
      </w:r>
      <w:r w:rsidR="006720F5">
        <w:rPr>
          <w:rFonts w:ascii="FrankRuehl" w:eastAsia="Calibri" w:hAnsi="FrankRuehl" w:cs="FrankRuehl"/>
          <w:sz w:val="28"/>
          <w:szCs w:val="28"/>
          <w:rtl/>
        </w:rPr>
        <w:t xml:space="preserve"> לפי סעיפים 2(7), 2(9) ו- 16 לחוק הגנת הפרטיות, התשמ"א</w:t>
      </w:r>
      <w:r w:rsidR="00B01051">
        <w:rPr>
          <w:rFonts w:ascii="FrankRuehl" w:eastAsia="Calibri" w:hAnsi="FrankRuehl" w:cs="FrankRuehl" w:hint="cs"/>
          <w:sz w:val="28"/>
          <w:szCs w:val="28"/>
          <w:rtl/>
        </w:rPr>
        <w:t>-</w:t>
      </w:r>
      <w:r w:rsidR="006720F5">
        <w:rPr>
          <w:rFonts w:ascii="FrankRuehl" w:eastAsia="Calibri" w:hAnsi="FrankRuehl" w:cs="FrankRuehl"/>
          <w:sz w:val="28"/>
          <w:szCs w:val="28"/>
          <w:rtl/>
        </w:rPr>
        <w:t>1981</w:t>
      </w:r>
      <w:r w:rsidR="006720F5">
        <w:rPr>
          <w:rFonts w:ascii="FrankRuehl" w:eastAsia="Calibri" w:hAnsi="FrankRuehl" w:cs="FrankRuehl" w:hint="cs"/>
          <w:sz w:val="28"/>
          <w:szCs w:val="28"/>
          <w:rtl/>
        </w:rPr>
        <w:t xml:space="preserve">, </w:t>
      </w:r>
      <w:r w:rsidR="00D508C1">
        <w:rPr>
          <w:rFonts w:ascii="FrankRuehl" w:hAnsi="FrankRuehl" w:cs="FrankRuehl"/>
          <w:sz w:val="28"/>
          <w:szCs w:val="28"/>
          <w:rtl/>
        </w:rPr>
        <w:t xml:space="preserve">שיוחסה לו באישום השמיני. </w:t>
      </w:r>
    </w:p>
    <w:p w:rsidR="00D508C1" w:rsidRDefault="00D508C1" w:rsidP="00D508C1">
      <w:pPr>
        <w:spacing w:line="360" w:lineRule="auto"/>
        <w:jc w:val="both"/>
        <w:rPr>
          <w:rFonts w:ascii="FrankRuehl" w:hAnsi="FrankRuehl" w:cs="FrankRuehl"/>
          <w:sz w:val="28"/>
          <w:szCs w:val="28"/>
          <w:rtl/>
        </w:rPr>
      </w:pPr>
    </w:p>
    <w:p w:rsidR="006720F5" w:rsidRDefault="00A40F30" w:rsidP="00417DE5">
      <w:pPr>
        <w:spacing w:line="360" w:lineRule="auto"/>
        <w:jc w:val="both"/>
        <w:rPr>
          <w:rFonts w:ascii="FrankRuehl" w:hAnsi="FrankRuehl" w:cs="FrankRuehl"/>
          <w:sz w:val="28"/>
          <w:szCs w:val="28"/>
          <w:rtl/>
        </w:rPr>
      </w:pPr>
      <w:r>
        <w:rPr>
          <w:rFonts w:ascii="FrankRuehl" w:hAnsi="FrankRuehl" w:cs="FrankRuehl" w:hint="cs"/>
          <w:sz w:val="28"/>
          <w:szCs w:val="28"/>
          <w:rtl/>
        </w:rPr>
        <w:t>2.</w:t>
      </w:r>
      <w:r>
        <w:rPr>
          <w:rFonts w:ascii="FrankRuehl" w:hAnsi="FrankRuehl" w:cs="FrankRuehl" w:hint="cs"/>
          <w:sz w:val="28"/>
          <w:szCs w:val="28"/>
          <w:rtl/>
        </w:rPr>
        <w:tab/>
      </w:r>
      <w:r w:rsidR="006720F5">
        <w:rPr>
          <w:rFonts w:ascii="FrankRuehl" w:hAnsi="FrankRuehl" w:cs="FrankRuehl" w:hint="cs"/>
          <w:sz w:val="28"/>
          <w:szCs w:val="28"/>
          <w:rtl/>
        </w:rPr>
        <w:t xml:space="preserve">נסיבות ביצוע העבירות פורטו בהרחבה בהכרעת הדין מיום 17.11.22. במסגרת זאת, אפרטם בקצרה. </w:t>
      </w:r>
    </w:p>
    <w:p w:rsidR="006720F5" w:rsidRDefault="006720F5" w:rsidP="00417DE5">
      <w:pPr>
        <w:spacing w:line="360" w:lineRule="auto"/>
        <w:jc w:val="both"/>
        <w:rPr>
          <w:rFonts w:ascii="FrankRuehl" w:hAnsi="FrankRuehl" w:cs="FrankRuehl"/>
          <w:sz w:val="28"/>
          <w:szCs w:val="28"/>
          <w:rtl/>
        </w:rPr>
      </w:pPr>
    </w:p>
    <w:p w:rsidR="008877BB" w:rsidRDefault="00A40F30" w:rsidP="008877BB">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3.</w:t>
      </w:r>
      <w:r>
        <w:rPr>
          <w:rFonts w:ascii="FrankRuehl" w:eastAsia="Calibri" w:hAnsi="FrankRuehl" w:cs="FrankRuehl" w:hint="cs"/>
          <w:sz w:val="28"/>
          <w:szCs w:val="28"/>
          <w:rtl/>
        </w:rPr>
        <w:tab/>
      </w:r>
      <w:r w:rsidR="00D508C1">
        <w:rPr>
          <w:rFonts w:ascii="FrankRuehl" w:eastAsia="Calibri" w:hAnsi="FrankRuehl" w:cs="FrankRuehl"/>
          <w:sz w:val="28"/>
          <w:szCs w:val="28"/>
          <w:rtl/>
        </w:rPr>
        <w:t xml:space="preserve">הנאשם, </w:t>
      </w:r>
      <w:r w:rsidR="006720F5">
        <w:rPr>
          <w:rFonts w:ascii="FrankRuehl" w:eastAsia="Calibri" w:hAnsi="FrankRuehl" w:cs="FrankRuehl" w:hint="cs"/>
          <w:sz w:val="28"/>
          <w:szCs w:val="28"/>
          <w:rtl/>
        </w:rPr>
        <w:t>ש</w:t>
      </w:r>
      <w:r w:rsidR="006720F5">
        <w:rPr>
          <w:rFonts w:ascii="FrankRuehl" w:eastAsia="Calibri" w:hAnsi="FrankRuehl" w:cs="FrankRuehl"/>
          <w:sz w:val="28"/>
          <w:szCs w:val="28"/>
          <w:rtl/>
        </w:rPr>
        <w:t>ע</w:t>
      </w:r>
      <w:r w:rsidR="00D508C1">
        <w:rPr>
          <w:rFonts w:ascii="FrankRuehl" w:eastAsia="Calibri" w:hAnsi="FrankRuehl" w:cs="FrankRuehl"/>
          <w:sz w:val="28"/>
          <w:szCs w:val="28"/>
          <w:rtl/>
        </w:rPr>
        <w:t xml:space="preserve">בד ברשות האוכלוסין וההגירה (להלן: "הרשות") </w:t>
      </w:r>
      <w:r w:rsidR="006720F5">
        <w:rPr>
          <w:rFonts w:ascii="FrankRuehl" w:eastAsia="Calibri" w:hAnsi="FrankRuehl" w:cs="FrankRuehl" w:hint="cs"/>
          <w:sz w:val="28"/>
          <w:szCs w:val="28"/>
          <w:rtl/>
        </w:rPr>
        <w:t>מ</w:t>
      </w:r>
      <w:r w:rsidR="00D508C1">
        <w:rPr>
          <w:rFonts w:ascii="FrankRuehl" w:eastAsia="Calibri" w:hAnsi="FrankRuehl" w:cs="FrankRuehl"/>
          <w:sz w:val="28"/>
          <w:szCs w:val="28"/>
          <w:rtl/>
        </w:rPr>
        <w:t>שנת 1997</w:t>
      </w:r>
      <w:r w:rsidR="006720F5">
        <w:rPr>
          <w:rFonts w:ascii="FrankRuehl" w:eastAsia="Calibri" w:hAnsi="FrankRuehl" w:cs="FrankRuehl" w:hint="cs"/>
          <w:sz w:val="28"/>
          <w:szCs w:val="28"/>
          <w:rtl/>
        </w:rPr>
        <w:t>, ו</w:t>
      </w:r>
      <w:r w:rsidR="00D508C1">
        <w:rPr>
          <w:rFonts w:ascii="FrankRuehl" w:eastAsia="Calibri" w:hAnsi="FrankRuehl" w:cs="FrankRuehl"/>
          <w:sz w:val="28"/>
          <w:szCs w:val="28"/>
          <w:rtl/>
        </w:rPr>
        <w:t xml:space="preserve">התקדם </w:t>
      </w:r>
      <w:r w:rsidR="006720F5">
        <w:rPr>
          <w:rFonts w:ascii="FrankRuehl" w:eastAsia="Calibri" w:hAnsi="FrankRuehl" w:cs="FrankRuehl" w:hint="cs"/>
          <w:sz w:val="28"/>
          <w:szCs w:val="28"/>
          <w:rtl/>
        </w:rPr>
        <w:t xml:space="preserve">בתפקידים שונים ברשות, מונה </w:t>
      </w:r>
      <w:r w:rsidR="00D508C1">
        <w:rPr>
          <w:rFonts w:ascii="FrankRuehl" w:eastAsia="Calibri" w:hAnsi="FrankRuehl" w:cs="FrankRuehl"/>
          <w:sz w:val="28"/>
          <w:szCs w:val="28"/>
          <w:rtl/>
        </w:rPr>
        <w:t>בשנת 2007 לאחראי על לשכות מנהל האוכלוסין במחוז צפון ב"דסק האתיופי"</w:t>
      </w:r>
      <w:r w:rsidR="006720F5">
        <w:rPr>
          <w:rFonts w:ascii="FrankRuehl" w:eastAsia="Calibri" w:hAnsi="FrankRuehl" w:cs="FrankRuehl" w:hint="cs"/>
          <w:sz w:val="28"/>
          <w:szCs w:val="28"/>
          <w:rtl/>
        </w:rPr>
        <w:t xml:space="preserve">. </w:t>
      </w:r>
      <w:r w:rsidR="008877BB">
        <w:rPr>
          <w:rFonts w:ascii="FrankRuehl" w:eastAsia="Calibri" w:hAnsi="FrankRuehl" w:cs="FrankRuehl" w:hint="cs"/>
          <w:sz w:val="28"/>
          <w:szCs w:val="28"/>
          <w:rtl/>
        </w:rPr>
        <w:t>במסגרת ת</w:t>
      </w:r>
      <w:r w:rsidR="008877BB">
        <w:rPr>
          <w:rFonts w:ascii="FrankRuehl" w:eastAsia="Calibri" w:hAnsi="FrankRuehl" w:cs="FrankRuehl"/>
          <w:sz w:val="28"/>
          <w:szCs w:val="28"/>
          <w:rtl/>
        </w:rPr>
        <w:t>פקידו</w:t>
      </w:r>
      <w:r w:rsidR="008877BB">
        <w:rPr>
          <w:rFonts w:ascii="FrankRuehl" w:eastAsia="Calibri" w:hAnsi="FrankRuehl" w:cs="FrankRuehl" w:hint="cs"/>
          <w:sz w:val="28"/>
          <w:szCs w:val="28"/>
          <w:rtl/>
        </w:rPr>
        <w:t xml:space="preserve">, הנאשם היה ממונה </w:t>
      </w:r>
      <w:r w:rsidR="008877BB">
        <w:rPr>
          <w:rFonts w:ascii="FrankRuehl" w:eastAsia="Calibri" w:hAnsi="FrankRuehl" w:cs="FrankRuehl"/>
          <w:sz w:val="28"/>
          <w:szCs w:val="28"/>
          <w:rtl/>
        </w:rPr>
        <w:t xml:space="preserve">בין היתר, </w:t>
      </w:r>
      <w:r w:rsidR="008877BB">
        <w:rPr>
          <w:rFonts w:ascii="FrankRuehl" w:eastAsia="Calibri" w:hAnsi="FrankRuehl" w:cs="FrankRuehl" w:hint="cs"/>
          <w:sz w:val="28"/>
          <w:szCs w:val="28"/>
          <w:rtl/>
        </w:rPr>
        <w:t xml:space="preserve">על </w:t>
      </w:r>
      <w:r w:rsidR="008877BB">
        <w:rPr>
          <w:rFonts w:ascii="FrankRuehl" w:eastAsia="Calibri" w:hAnsi="FrankRuehl" w:cs="FrankRuehl"/>
          <w:sz w:val="28"/>
          <w:szCs w:val="28"/>
          <w:rtl/>
        </w:rPr>
        <w:t>בדיקות זכאות</w:t>
      </w:r>
      <w:r w:rsidR="008877BB">
        <w:rPr>
          <w:rFonts w:ascii="FrankRuehl" w:eastAsia="Calibri" w:hAnsi="FrankRuehl" w:cs="FrankRuehl" w:hint="cs"/>
          <w:sz w:val="28"/>
          <w:szCs w:val="28"/>
          <w:rtl/>
        </w:rPr>
        <w:t xml:space="preserve">ם של </w:t>
      </w:r>
      <w:r w:rsidR="008877BB">
        <w:rPr>
          <w:rFonts w:ascii="FrankRuehl" w:eastAsia="Calibri" w:hAnsi="FrankRuehl" w:cs="FrankRuehl"/>
          <w:sz w:val="28"/>
          <w:szCs w:val="28"/>
          <w:rtl/>
        </w:rPr>
        <w:t xml:space="preserve">עולים חדשים מאתיופיה בהתאם לחוק השבות וטיפול בתחום אשרות הכניסה לישראל לנתינים אתיופים </w:t>
      </w:r>
      <w:r w:rsidR="008877BB">
        <w:rPr>
          <w:rFonts w:ascii="FrankRuehl" w:eastAsia="Calibri" w:hAnsi="FrankRuehl" w:cs="FrankRuehl"/>
          <w:sz w:val="28"/>
          <w:szCs w:val="28"/>
          <w:rtl/>
        </w:rPr>
        <w:lastRenderedPageBreak/>
        <w:t xml:space="preserve">בהתאם לחוק הכניסה לישראל. הנאשם גם הנחה והיווה מקור סמכות מקצועית עבור עובדי לשכות רשות ההגירה (להלן: "הלשכות") בתחום שבסמכותו. </w:t>
      </w:r>
    </w:p>
    <w:p w:rsidR="00D508C1" w:rsidRDefault="00A40F30" w:rsidP="008877BB">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4.</w:t>
      </w:r>
      <w:r>
        <w:rPr>
          <w:rFonts w:ascii="FrankRuehl" w:eastAsia="Calibri" w:hAnsi="FrankRuehl" w:cs="FrankRuehl" w:hint="cs"/>
          <w:sz w:val="28"/>
          <w:szCs w:val="28"/>
          <w:rtl/>
        </w:rPr>
        <w:tab/>
      </w:r>
      <w:r w:rsidR="008877BB">
        <w:rPr>
          <w:rFonts w:ascii="FrankRuehl" w:eastAsia="Calibri" w:hAnsi="FrankRuehl" w:cs="FrankRuehl" w:hint="cs"/>
          <w:sz w:val="28"/>
          <w:szCs w:val="28"/>
          <w:rtl/>
        </w:rPr>
        <w:t xml:space="preserve">בשל תפקידו, </w:t>
      </w:r>
      <w:r w:rsidR="00D508C1">
        <w:rPr>
          <w:rFonts w:ascii="FrankRuehl" w:eastAsia="Calibri" w:hAnsi="FrankRuehl" w:cs="FrankRuehl"/>
          <w:sz w:val="28"/>
          <w:szCs w:val="28"/>
          <w:rtl/>
        </w:rPr>
        <w:t xml:space="preserve">קיבל </w:t>
      </w:r>
      <w:r w:rsidR="008877BB">
        <w:rPr>
          <w:rFonts w:ascii="FrankRuehl" w:eastAsia="Calibri" w:hAnsi="FrankRuehl" w:cs="FrankRuehl" w:hint="cs"/>
          <w:sz w:val="28"/>
          <w:szCs w:val="28"/>
          <w:rtl/>
        </w:rPr>
        <w:t xml:space="preserve">הנאשם </w:t>
      </w:r>
      <w:r w:rsidR="00D508C1">
        <w:rPr>
          <w:rFonts w:ascii="FrankRuehl" w:eastAsia="Calibri" w:hAnsi="FrankRuehl" w:cs="FrankRuehl"/>
          <w:sz w:val="28"/>
          <w:szCs w:val="28"/>
          <w:rtl/>
        </w:rPr>
        <w:t>פניות מצד רבים מבני הקהילה</w:t>
      </w:r>
      <w:r w:rsidR="008877BB">
        <w:rPr>
          <w:rFonts w:ascii="FrankRuehl" w:eastAsia="Calibri" w:hAnsi="FrankRuehl" w:cs="FrankRuehl" w:hint="cs"/>
          <w:sz w:val="28"/>
          <w:szCs w:val="28"/>
          <w:rtl/>
        </w:rPr>
        <w:t xml:space="preserve"> האתיופית</w:t>
      </w:r>
      <w:r w:rsidR="00D508C1">
        <w:rPr>
          <w:rFonts w:ascii="FrankRuehl" w:eastAsia="Calibri" w:hAnsi="FrankRuehl" w:cs="FrankRuehl"/>
          <w:sz w:val="28"/>
          <w:szCs w:val="28"/>
          <w:rtl/>
        </w:rPr>
        <w:t xml:space="preserve"> לקבלת סיוע בעניינים הקשורים לתפקידו. הנאשם שהיה מודע למעמדו זה ולתלותם של בני הקהילה בו, ניצל זאת לטובת קבלת טובות הנאה </w:t>
      </w:r>
      <w:r w:rsidR="008877BB">
        <w:rPr>
          <w:rFonts w:ascii="FrankRuehl" w:eastAsia="Calibri" w:hAnsi="FrankRuehl" w:cs="FrankRuehl" w:hint="cs"/>
          <w:sz w:val="28"/>
          <w:szCs w:val="28"/>
          <w:rtl/>
        </w:rPr>
        <w:t xml:space="preserve">מיניות </w:t>
      </w:r>
      <w:r w:rsidR="00D508C1">
        <w:rPr>
          <w:rFonts w:ascii="FrankRuehl" w:eastAsia="Calibri" w:hAnsi="FrankRuehl" w:cs="FrankRuehl"/>
          <w:sz w:val="28"/>
          <w:szCs w:val="28"/>
          <w:rtl/>
        </w:rPr>
        <w:t xml:space="preserve">מבנות הקהילה שפנו אליו לקבלת סיוע. </w:t>
      </w:r>
    </w:p>
    <w:p w:rsidR="00762A35" w:rsidRDefault="00762A35" w:rsidP="00D508C1">
      <w:pPr>
        <w:spacing w:after="160" w:line="360" w:lineRule="auto"/>
        <w:jc w:val="both"/>
        <w:rPr>
          <w:rFonts w:ascii="FrankRuehl" w:eastAsia="Calibri" w:hAnsi="FrankRuehl" w:cs="FrankRuehl"/>
          <w:sz w:val="28"/>
          <w:szCs w:val="28"/>
          <w:rtl/>
        </w:rPr>
      </w:pPr>
    </w:p>
    <w:p w:rsidR="00417DE5" w:rsidRPr="00D74D97" w:rsidRDefault="00417DE5" w:rsidP="00D508C1">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כאמור, הנאשם הורשע בעביר</w:t>
      </w:r>
      <w:r w:rsidR="005F0100">
        <w:rPr>
          <w:rFonts w:ascii="FrankRuehl" w:eastAsia="Calibri" w:hAnsi="FrankRuehl" w:cs="FrankRuehl" w:hint="cs"/>
          <w:sz w:val="28"/>
          <w:szCs w:val="28"/>
          <w:rtl/>
        </w:rPr>
        <w:t>ה של לקיחת</w:t>
      </w:r>
      <w:r>
        <w:rPr>
          <w:rFonts w:ascii="FrankRuehl" w:eastAsia="Calibri" w:hAnsi="FrankRuehl" w:cs="FrankRuehl" w:hint="cs"/>
          <w:sz w:val="28"/>
          <w:szCs w:val="28"/>
          <w:rtl/>
        </w:rPr>
        <w:t xml:space="preserve"> </w:t>
      </w:r>
      <w:r w:rsidRPr="00D74D97">
        <w:rPr>
          <w:rFonts w:ascii="FrankRuehl" w:eastAsia="Calibri" w:hAnsi="FrankRuehl" w:cs="FrankRuehl" w:hint="cs"/>
          <w:sz w:val="28"/>
          <w:szCs w:val="28"/>
          <w:rtl/>
        </w:rPr>
        <w:t>שוחד בשלושה אישומים.</w:t>
      </w:r>
    </w:p>
    <w:p w:rsidR="00D74D97" w:rsidRPr="00D74D97" w:rsidRDefault="00A40F30" w:rsidP="00D74D97">
      <w:pPr>
        <w:spacing w:after="160" w:line="360" w:lineRule="auto"/>
        <w:jc w:val="both"/>
        <w:rPr>
          <w:rFonts w:ascii="Calibri" w:eastAsia="Calibri" w:hAnsi="Calibri" w:cs="FrankRuehl"/>
          <w:sz w:val="22"/>
          <w:szCs w:val="28"/>
          <w:rtl/>
        </w:rPr>
      </w:pPr>
      <w:r>
        <w:rPr>
          <w:rFonts w:ascii="FrankRuehl" w:eastAsia="Calibri" w:hAnsi="FrankRuehl" w:cs="FrankRuehl" w:hint="cs"/>
          <w:sz w:val="28"/>
          <w:szCs w:val="28"/>
          <w:rtl/>
        </w:rPr>
        <w:t>5.</w:t>
      </w:r>
      <w:r>
        <w:rPr>
          <w:rFonts w:ascii="FrankRuehl" w:eastAsia="Calibri" w:hAnsi="FrankRuehl" w:cs="FrankRuehl" w:hint="cs"/>
          <w:sz w:val="28"/>
          <w:szCs w:val="28"/>
          <w:rtl/>
        </w:rPr>
        <w:tab/>
      </w:r>
      <w:r w:rsidR="00417DE5" w:rsidRPr="00D74D97">
        <w:rPr>
          <w:rFonts w:ascii="FrankRuehl" w:eastAsia="Calibri" w:hAnsi="FrankRuehl" w:cs="FrankRuehl" w:hint="cs"/>
          <w:sz w:val="28"/>
          <w:szCs w:val="28"/>
          <w:rtl/>
        </w:rPr>
        <w:t xml:space="preserve">באחד האישומים, הוא </w:t>
      </w:r>
      <w:r w:rsidR="00417DE5" w:rsidRPr="00A40F30">
        <w:rPr>
          <w:rFonts w:ascii="FrankRuehl" w:eastAsia="Calibri" w:hAnsi="FrankRuehl" w:cs="FrankRuehl" w:hint="cs"/>
          <w:b/>
          <w:bCs/>
          <w:sz w:val="28"/>
          <w:szCs w:val="28"/>
          <w:rtl/>
        </w:rPr>
        <w:t>האישום השני</w:t>
      </w:r>
      <w:r w:rsidR="00417DE5" w:rsidRPr="00D74D97">
        <w:rPr>
          <w:rFonts w:ascii="FrankRuehl" w:eastAsia="Calibri" w:hAnsi="FrankRuehl" w:cs="FrankRuehl" w:hint="cs"/>
          <w:sz w:val="28"/>
          <w:szCs w:val="28"/>
          <w:rtl/>
        </w:rPr>
        <w:t xml:space="preserve"> שבכתב האישום, הורשע הנאשם בעבירה</w:t>
      </w:r>
      <w:r w:rsidR="00D74D97" w:rsidRPr="00D74D97">
        <w:rPr>
          <w:rFonts w:ascii="FrankRuehl" w:eastAsia="Calibri" w:hAnsi="FrankRuehl" w:cs="FrankRuehl" w:hint="cs"/>
          <w:sz w:val="28"/>
          <w:szCs w:val="28"/>
          <w:rtl/>
        </w:rPr>
        <w:t xml:space="preserve"> </w:t>
      </w:r>
      <w:r w:rsidR="00D74D97" w:rsidRPr="00D74D97">
        <w:rPr>
          <w:rFonts w:ascii="Calibri" w:eastAsia="Calibri" w:hAnsi="Calibri" w:cs="FrankRuehl"/>
          <w:sz w:val="22"/>
          <w:szCs w:val="28"/>
          <w:rtl/>
        </w:rPr>
        <w:t>של לקיחת שוחד בנסיבות סעיף 294(א) לחוק העונשין בשל פעולותיו לקבל "מתת" בדרך של קיום יחסי מין "בעד" פעולותיו השלטוניות בעניינה של י'</w:t>
      </w:r>
      <w:r w:rsidR="00D74D97" w:rsidRPr="00D74D97">
        <w:rPr>
          <w:rFonts w:ascii="Calibri" w:eastAsia="Calibri" w:hAnsi="Calibri" w:cs="FrankRuehl" w:hint="cs"/>
          <w:sz w:val="22"/>
          <w:szCs w:val="28"/>
          <w:rtl/>
        </w:rPr>
        <w:t>.</w:t>
      </w:r>
    </w:p>
    <w:p w:rsidR="00D508C1" w:rsidRDefault="00A40F30" w:rsidP="00D74D97">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w:t>
      </w:r>
      <w:r>
        <w:rPr>
          <w:rFonts w:ascii="FrankRuehl" w:eastAsia="Calibri" w:hAnsi="FrankRuehl" w:cs="FrankRuehl" w:hint="cs"/>
          <w:sz w:val="28"/>
          <w:szCs w:val="28"/>
          <w:rtl/>
        </w:rPr>
        <w:tab/>
      </w:r>
      <w:r w:rsidR="00D74D97">
        <w:rPr>
          <w:rFonts w:ascii="FrankRuehl" w:eastAsia="Calibri" w:hAnsi="FrankRuehl" w:cs="FrankRuehl" w:hint="cs"/>
          <w:sz w:val="28"/>
          <w:szCs w:val="28"/>
          <w:rtl/>
        </w:rPr>
        <w:t xml:space="preserve">את י' הכיר </w:t>
      </w:r>
      <w:r w:rsidR="00417DE5">
        <w:rPr>
          <w:rFonts w:ascii="FrankRuehl" w:eastAsia="Calibri" w:hAnsi="FrankRuehl" w:cs="FrankRuehl" w:hint="cs"/>
          <w:sz w:val="28"/>
          <w:szCs w:val="28"/>
          <w:rtl/>
        </w:rPr>
        <w:t xml:space="preserve">הנאשם </w:t>
      </w:r>
      <w:r w:rsidR="00D74D97">
        <w:rPr>
          <w:rFonts w:ascii="FrankRuehl" w:eastAsia="Calibri" w:hAnsi="FrankRuehl" w:cs="FrankRuehl" w:hint="cs"/>
          <w:sz w:val="28"/>
          <w:szCs w:val="28"/>
          <w:rtl/>
        </w:rPr>
        <w:t xml:space="preserve">כשטיפל בענייניה </w:t>
      </w:r>
      <w:r w:rsidR="00D508C1">
        <w:rPr>
          <w:rFonts w:ascii="FrankRuehl" w:eastAsia="Calibri" w:hAnsi="FrankRuehl" w:cs="FrankRuehl"/>
          <w:sz w:val="28"/>
          <w:szCs w:val="28"/>
          <w:rtl/>
        </w:rPr>
        <w:t>בשנת 2006</w:t>
      </w:r>
      <w:r w:rsidR="00D74D97">
        <w:rPr>
          <w:rFonts w:ascii="FrankRuehl" w:eastAsia="Calibri" w:hAnsi="FrankRuehl" w:cs="FrankRuehl" w:hint="cs"/>
          <w:sz w:val="28"/>
          <w:szCs w:val="28"/>
          <w:rtl/>
        </w:rPr>
        <w:t xml:space="preserve">. </w:t>
      </w:r>
      <w:r w:rsidR="00417DE5">
        <w:rPr>
          <w:rFonts w:ascii="FrankRuehl" w:eastAsia="Calibri" w:hAnsi="FrankRuehl" w:cs="FrankRuehl" w:hint="cs"/>
          <w:sz w:val="28"/>
          <w:szCs w:val="28"/>
          <w:rtl/>
        </w:rPr>
        <w:t>אז</w:t>
      </w:r>
      <w:r w:rsidR="00D508C1">
        <w:rPr>
          <w:rFonts w:ascii="FrankRuehl" w:eastAsia="Calibri" w:hAnsi="FrankRuehl" w:cs="FrankRuehl"/>
          <w:sz w:val="28"/>
          <w:szCs w:val="28"/>
          <w:rtl/>
        </w:rPr>
        <w:t xml:space="preserve"> הגישה י' בקשה לעלות לישראל</w:t>
      </w:r>
      <w:r w:rsidR="00D74D97">
        <w:rPr>
          <w:rFonts w:ascii="FrankRuehl" w:eastAsia="Calibri" w:hAnsi="FrankRuehl" w:cs="FrankRuehl" w:hint="cs"/>
          <w:sz w:val="28"/>
          <w:szCs w:val="28"/>
          <w:rtl/>
        </w:rPr>
        <w:t>, ו</w:t>
      </w:r>
      <w:r w:rsidR="00D508C1">
        <w:rPr>
          <w:rFonts w:ascii="FrankRuehl" w:eastAsia="Calibri" w:hAnsi="FrankRuehl" w:cs="FrankRuehl"/>
          <w:sz w:val="28"/>
          <w:szCs w:val="28"/>
          <w:rtl/>
        </w:rPr>
        <w:t>במסגרת תחקיר שערך הנאשם מכוח תפקידו בדסק האתיופי, הוא מצא כי משפחתה של י' אינה זכאית לעליה, ובקשתה נדחתה. ב</w:t>
      </w:r>
      <w:r w:rsidR="00D74D97">
        <w:rPr>
          <w:rFonts w:ascii="FrankRuehl" w:eastAsia="Calibri" w:hAnsi="FrankRuehl" w:cs="FrankRuehl" w:hint="cs"/>
          <w:sz w:val="28"/>
          <w:szCs w:val="28"/>
          <w:rtl/>
        </w:rPr>
        <w:t>המשך, ב</w:t>
      </w:r>
      <w:r w:rsidR="00D508C1">
        <w:rPr>
          <w:rFonts w:ascii="FrankRuehl" w:eastAsia="Calibri" w:hAnsi="FrankRuehl" w:cs="FrankRuehl"/>
          <w:sz w:val="28"/>
          <w:szCs w:val="28"/>
          <w:rtl/>
        </w:rPr>
        <w:t xml:space="preserve">שנת 2015 נכנסה </w:t>
      </w:r>
      <w:r w:rsidR="00D74D97">
        <w:rPr>
          <w:rFonts w:ascii="FrankRuehl" w:eastAsia="Calibri" w:hAnsi="FrankRuehl" w:cs="FrankRuehl" w:hint="cs"/>
          <w:sz w:val="28"/>
          <w:szCs w:val="28"/>
          <w:rtl/>
        </w:rPr>
        <w:t xml:space="preserve">י' </w:t>
      </w:r>
      <w:r w:rsidR="00D508C1">
        <w:rPr>
          <w:rFonts w:ascii="FrankRuehl" w:eastAsia="Calibri" w:hAnsi="FrankRuehl" w:cs="FrankRuehl"/>
          <w:sz w:val="28"/>
          <w:szCs w:val="28"/>
          <w:rtl/>
        </w:rPr>
        <w:t>לישראל וקיבלה מעמד ארעי מסוג א/5 במסגרת הליך לאיחוד משפחות</w:t>
      </w:r>
      <w:r w:rsidR="00D74D97">
        <w:rPr>
          <w:rFonts w:ascii="FrankRuehl" w:eastAsia="Calibri" w:hAnsi="FrankRuehl" w:cs="FrankRuehl" w:hint="cs"/>
          <w:sz w:val="28"/>
          <w:szCs w:val="28"/>
          <w:rtl/>
        </w:rPr>
        <w:t>, לאחר ש</w:t>
      </w:r>
      <w:r w:rsidR="00D74D97">
        <w:rPr>
          <w:rFonts w:ascii="FrankRuehl" w:eastAsia="Calibri" w:hAnsi="FrankRuehl" w:cs="FrankRuehl"/>
          <w:sz w:val="28"/>
          <w:szCs w:val="28"/>
          <w:rtl/>
        </w:rPr>
        <w:t>נישאה באתיופיה לא', אזרח ישראלי</w:t>
      </w:r>
      <w:r w:rsidR="00D74D97">
        <w:rPr>
          <w:rFonts w:ascii="FrankRuehl" w:eastAsia="Calibri" w:hAnsi="FrankRuehl" w:cs="FrankRuehl" w:hint="cs"/>
          <w:sz w:val="28"/>
          <w:szCs w:val="28"/>
          <w:rtl/>
        </w:rPr>
        <w:t xml:space="preserve">. </w:t>
      </w:r>
      <w:r w:rsidR="00D508C1">
        <w:rPr>
          <w:rFonts w:ascii="FrankRuehl" w:eastAsia="Calibri" w:hAnsi="FrankRuehl" w:cs="FrankRuehl"/>
          <w:sz w:val="28"/>
          <w:szCs w:val="28"/>
          <w:rtl/>
        </w:rPr>
        <w:t xml:space="preserve">בהמשך, פנתה י' ללשכת רשות ההגירה בבקשה לקבלת מעמד עולה חדש מתוקף חוק השבות. ואולם, על בסיס התחקיר הנזכר שערך הנאשם, בקשתה נדחתה. </w:t>
      </w:r>
    </w:p>
    <w:p w:rsidR="00D508C1" w:rsidRDefault="00A40F30" w:rsidP="00D74D97">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w:t>
      </w:r>
      <w:r>
        <w:rPr>
          <w:rFonts w:ascii="FrankRuehl" w:eastAsia="Calibri" w:hAnsi="FrankRuehl" w:cs="FrankRuehl" w:hint="cs"/>
          <w:sz w:val="28"/>
          <w:szCs w:val="28"/>
          <w:rtl/>
        </w:rPr>
        <w:tab/>
      </w:r>
      <w:r w:rsidR="00D508C1">
        <w:rPr>
          <w:rFonts w:ascii="FrankRuehl" w:eastAsia="Calibri" w:hAnsi="FrankRuehl" w:cs="FrankRuehl"/>
          <w:sz w:val="28"/>
          <w:szCs w:val="28"/>
          <w:rtl/>
        </w:rPr>
        <w:t xml:space="preserve">בסמוך לחודש פברואר 2016, פנתה י' לנאשם, לאחר ששמעה כי יוכל לסייע לה להישאר בישראל. היא סיפרה לנאשם כי א' נוהג כלפיה באלימות, ומאיים להיפרד ממנה, מה שיוביל להחזרתה לאתיופיה. הנאשם הדריך </w:t>
      </w:r>
      <w:r w:rsidR="00995E28">
        <w:rPr>
          <w:rFonts w:ascii="FrankRuehl" w:eastAsia="Calibri" w:hAnsi="FrankRuehl" w:cs="FrankRuehl" w:hint="cs"/>
          <w:sz w:val="28"/>
          <w:szCs w:val="28"/>
          <w:rtl/>
        </w:rPr>
        <w:t xml:space="preserve">את </w:t>
      </w:r>
      <w:r w:rsidR="00D508C1">
        <w:rPr>
          <w:rFonts w:ascii="FrankRuehl" w:eastAsia="Calibri" w:hAnsi="FrankRuehl" w:cs="FrankRuehl"/>
          <w:sz w:val="28"/>
          <w:szCs w:val="28"/>
          <w:rtl/>
        </w:rPr>
        <w:t xml:space="preserve">י' כיצד לפעול על מנת שלא תגורש מישראל. תמורת סיועו של הנאשם, שוחחה עמו י' שיחות אשר כללו תכנים בעלי אופי מיני. </w:t>
      </w:r>
      <w:r w:rsidR="00D74D97">
        <w:rPr>
          <w:rFonts w:ascii="FrankRuehl" w:eastAsia="Calibri" w:hAnsi="FrankRuehl" w:cs="FrankRuehl" w:hint="cs"/>
          <w:sz w:val="28"/>
          <w:szCs w:val="28"/>
          <w:rtl/>
        </w:rPr>
        <w:t xml:space="preserve">הנאשם גם </w:t>
      </w:r>
      <w:r w:rsidR="00995E28">
        <w:rPr>
          <w:rFonts w:ascii="FrankRuehl" w:eastAsia="Calibri" w:hAnsi="FrankRuehl" w:cs="FrankRuehl"/>
          <w:sz w:val="28"/>
          <w:szCs w:val="28"/>
          <w:rtl/>
        </w:rPr>
        <w:t xml:space="preserve">לא פעל בהתאם לנוהל הרלוונטי לבחינת הפסקת ההליך לאיחוד משפחות שהחלה בו י'. </w:t>
      </w:r>
    </w:p>
    <w:p w:rsidR="00D508C1" w:rsidRDefault="00A40F30" w:rsidP="00D508C1">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8.</w:t>
      </w:r>
      <w:r>
        <w:rPr>
          <w:rFonts w:ascii="FrankRuehl" w:eastAsia="Calibri" w:hAnsi="FrankRuehl" w:cs="FrankRuehl" w:hint="cs"/>
          <w:sz w:val="28"/>
          <w:szCs w:val="28"/>
          <w:rtl/>
        </w:rPr>
        <w:tab/>
      </w:r>
      <w:r w:rsidR="00D508C1">
        <w:rPr>
          <w:rFonts w:ascii="FrankRuehl" w:eastAsia="Calibri" w:hAnsi="FrankRuehl" w:cs="FrankRuehl"/>
          <w:sz w:val="28"/>
          <w:szCs w:val="28"/>
          <w:rtl/>
        </w:rPr>
        <w:t xml:space="preserve">ביום 7.02.16 סיפרה י' לנאשם כי א' הביע בפניה את רצונו להתגרש ממנה. הנאשם שחשש כי א' יודיע על כך לרשות, מה שעלול להביא לביטול ההליך של איחוד משפחות ולסילוקה המידי של י' מישראל, פנה לשרה סנאי (להלן: "שרה"), עובדת רשות ההגירה, על מנת למנוע את ביטול מעמדה הזמני של י' ולהעברת הטיפול בעניינה של י' לטיפולו. ברם, שרה השיבה כי מרגע שתינתן </w:t>
      </w:r>
      <w:r w:rsidR="00D508C1">
        <w:rPr>
          <w:rFonts w:ascii="FrankRuehl" w:eastAsia="Calibri" w:hAnsi="FrankRuehl" w:cs="FrankRuehl"/>
          <w:sz w:val="28"/>
          <w:szCs w:val="28"/>
          <w:rtl/>
        </w:rPr>
        <w:lastRenderedPageBreak/>
        <w:t xml:space="preserve">הודעה על פרידה בין י' לא', הנוהל מחייב את ביטול האשרה הזמנית. הנאשם לא יידע את שרה על הקשר הקיים בינו לבין י'. </w:t>
      </w:r>
    </w:p>
    <w:p w:rsidR="00D508C1" w:rsidRDefault="00A40F30" w:rsidP="00CB4A88">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9.</w:t>
      </w:r>
      <w:r>
        <w:rPr>
          <w:rFonts w:ascii="FrankRuehl" w:eastAsia="Calibri" w:hAnsi="FrankRuehl" w:cs="FrankRuehl" w:hint="cs"/>
          <w:sz w:val="28"/>
          <w:szCs w:val="28"/>
          <w:rtl/>
        </w:rPr>
        <w:tab/>
      </w:r>
      <w:r w:rsidR="00995E28">
        <w:rPr>
          <w:rFonts w:ascii="FrankRuehl" w:eastAsia="Calibri" w:hAnsi="FrankRuehl" w:cs="FrankRuehl" w:hint="cs"/>
          <w:sz w:val="28"/>
          <w:szCs w:val="28"/>
          <w:rtl/>
        </w:rPr>
        <w:t>בה</w:t>
      </w:r>
      <w:r w:rsidR="00D508C1">
        <w:rPr>
          <w:rFonts w:ascii="FrankRuehl" w:eastAsia="Calibri" w:hAnsi="FrankRuehl" w:cs="FrankRuehl"/>
          <w:sz w:val="28"/>
          <w:szCs w:val="28"/>
          <w:rtl/>
        </w:rPr>
        <w:t xml:space="preserve">משך, ביום 19.02.16, פנה הנאשם אל שרה, ועדכן אותה כי י' וא' נפרדו על רקע תלונה של י' על אלימות שנקט א' כנגדה. בתגובה לכך השיבה שרה כי במצב זה הנוהל מחייב את ביטול האשרה הזמנית של י', אך זו יכולה לנסות להגיש בקשה הומניטרית להישארותה בישראל. למרות האמור, אמר הנאשם לשרה כי אין מקום לבטל את האשרה הקיימת, מאחר וייתכן שי' תוכל להישאר בישראל בהתאם להחלטת הממשלה משנת 2015 במסגרתה נקבעו מספר תנאים מצטברים להבאתם של אחרוני בני הפלשמורה הממתינים באדיס אבבא לישראל, בין היתר הדרישה כי המועמד מופיע ברשימת הממתינים בגונדר ובאדיס אבבא. </w:t>
      </w:r>
      <w:r w:rsidR="00CB4A88">
        <w:rPr>
          <w:rFonts w:ascii="FrankRuehl" w:eastAsia="Calibri" w:hAnsi="FrankRuehl" w:cs="FrankRuehl"/>
          <w:sz w:val="28"/>
          <w:szCs w:val="28"/>
          <w:rtl/>
        </w:rPr>
        <w:t xml:space="preserve">הנאשם עשה זאת, על אף שידע כי </w:t>
      </w:r>
      <w:r w:rsidR="00D508C1">
        <w:rPr>
          <w:rFonts w:ascii="FrankRuehl" w:eastAsia="Calibri" w:hAnsi="FrankRuehl" w:cs="FrankRuehl"/>
          <w:sz w:val="28"/>
          <w:szCs w:val="28"/>
          <w:rtl/>
        </w:rPr>
        <w:t>בהחלט</w:t>
      </w:r>
      <w:r w:rsidR="00CB4A88">
        <w:rPr>
          <w:rFonts w:ascii="FrankRuehl" w:eastAsia="Calibri" w:hAnsi="FrankRuehl" w:cs="FrankRuehl" w:hint="cs"/>
          <w:sz w:val="28"/>
          <w:szCs w:val="28"/>
          <w:rtl/>
        </w:rPr>
        <w:t xml:space="preserve">ת הממשלה </w:t>
      </w:r>
      <w:r w:rsidR="00D508C1">
        <w:rPr>
          <w:rFonts w:ascii="FrankRuehl" w:eastAsia="Calibri" w:hAnsi="FrankRuehl" w:cs="FrankRuehl"/>
          <w:sz w:val="28"/>
          <w:szCs w:val="28"/>
          <w:rtl/>
        </w:rPr>
        <w:t>נקבע כי על מנת ליישמה יש להקים צוות שיגיש המלצות אופרטיביות לאישור הממשלה</w:t>
      </w:r>
      <w:r w:rsidR="00CB4A88">
        <w:rPr>
          <w:rFonts w:ascii="FrankRuehl" w:eastAsia="Calibri" w:hAnsi="FrankRuehl" w:cs="FrankRuehl" w:hint="cs"/>
          <w:sz w:val="28"/>
          <w:szCs w:val="28"/>
          <w:rtl/>
        </w:rPr>
        <w:t xml:space="preserve">, ואלו טרם נקבעו באותה עת. </w:t>
      </w:r>
      <w:r w:rsidR="00D508C1">
        <w:rPr>
          <w:rFonts w:ascii="FrankRuehl" w:eastAsia="Calibri" w:hAnsi="FrankRuehl" w:cs="FrankRuehl"/>
          <w:sz w:val="28"/>
          <w:szCs w:val="28"/>
          <w:rtl/>
        </w:rPr>
        <w:t xml:space="preserve"> </w:t>
      </w:r>
    </w:p>
    <w:p w:rsidR="00D508C1" w:rsidRDefault="00A40F30" w:rsidP="00995E28">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10.</w:t>
      </w:r>
      <w:r>
        <w:rPr>
          <w:rFonts w:ascii="FrankRuehl" w:eastAsia="Calibri" w:hAnsi="FrankRuehl" w:cs="FrankRuehl" w:hint="cs"/>
          <w:sz w:val="28"/>
          <w:szCs w:val="28"/>
          <w:rtl/>
        </w:rPr>
        <w:tab/>
      </w:r>
      <w:r w:rsidR="00D508C1">
        <w:rPr>
          <w:rFonts w:ascii="FrankRuehl" w:eastAsia="Calibri" w:hAnsi="FrankRuehl" w:cs="FrankRuehl"/>
          <w:sz w:val="28"/>
          <w:szCs w:val="28"/>
          <w:rtl/>
        </w:rPr>
        <w:t xml:space="preserve">במקביל לאמור, המשיך הנאשם לסייע לי' במסגרת שיחות טלפוניות נוספות והרגיע אותה בכך שציין בפניה כי הוא פועל לאי ביטול מעמדה בישראל על אף הפרידה מא'. הוא גם הנחה אותה כיצד לפעול אל מול גורמי ממשל שונים. במסגרת אותן שיחות, ותמורת סיועו של הנאשם לי', הוא ניהל עמה גם שיחות ארוטיות, ואף הציע לה במספר הזדמנויות להיפגש עמו לצורך קיום יחסי מין. </w:t>
      </w:r>
    </w:p>
    <w:p w:rsidR="0026020B" w:rsidRDefault="00A40F30" w:rsidP="000828D4">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11.</w:t>
      </w:r>
      <w:r>
        <w:rPr>
          <w:rFonts w:ascii="FrankRuehl" w:eastAsia="Calibri" w:hAnsi="FrankRuehl" w:cs="FrankRuehl" w:hint="cs"/>
          <w:sz w:val="28"/>
          <w:szCs w:val="28"/>
          <w:rtl/>
        </w:rPr>
        <w:tab/>
      </w:r>
      <w:r w:rsidR="00762A35">
        <w:rPr>
          <w:rFonts w:ascii="FrankRuehl" w:eastAsia="Calibri" w:hAnsi="FrankRuehl" w:cs="FrankRuehl" w:hint="cs"/>
          <w:sz w:val="28"/>
          <w:szCs w:val="28"/>
          <w:rtl/>
        </w:rPr>
        <w:t xml:space="preserve">כפי שפורט בהכרעת הדין, </w:t>
      </w:r>
      <w:r w:rsidR="00762A35">
        <w:rPr>
          <w:rFonts w:ascii="FrankRuehl" w:eastAsia="Calibri" w:hAnsi="FrankRuehl" w:cs="FrankRuehl"/>
          <w:sz w:val="28"/>
          <w:szCs w:val="28"/>
          <w:rtl/>
        </w:rPr>
        <w:t>הקשר של</w:t>
      </w:r>
      <w:r w:rsidR="00762A35">
        <w:rPr>
          <w:rFonts w:ascii="FrankRuehl" w:eastAsia="Calibri" w:hAnsi="FrankRuehl" w:cs="FrankRuehl" w:hint="cs"/>
          <w:sz w:val="28"/>
          <w:szCs w:val="28"/>
          <w:rtl/>
        </w:rPr>
        <w:t xml:space="preserve"> י'</w:t>
      </w:r>
      <w:r w:rsidR="00762A35">
        <w:rPr>
          <w:rFonts w:ascii="FrankRuehl" w:eastAsia="Calibri" w:hAnsi="FrankRuehl" w:cs="FrankRuehl"/>
          <w:sz w:val="28"/>
          <w:szCs w:val="28"/>
          <w:rtl/>
        </w:rPr>
        <w:t xml:space="preserve"> עם הנאשם היה בשל האינטרסים שהי</w:t>
      </w:r>
      <w:r w:rsidR="000828D4">
        <w:rPr>
          <w:rFonts w:ascii="FrankRuehl" w:eastAsia="Calibri" w:hAnsi="FrankRuehl" w:cs="FrankRuehl" w:hint="cs"/>
          <w:sz w:val="28"/>
          <w:szCs w:val="28"/>
          <w:rtl/>
        </w:rPr>
        <w:t>ה נוכח היותו של הנאשם בעל מ</w:t>
      </w:r>
      <w:r w:rsidR="00762A35">
        <w:rPr>
          <w:rFonts w:ascii="FrankRuehl" w:eastAsia="Calibri" w:hAnsi="FrankRuehl" w:cs="FrankRuehl"/>
          <w:sz w:val="28"/>
          <w:szCs w:val="28"/>
          <w:rtl/>
        </w:rPr>
        <w:t>עמד ברשות</w:t>
      </w:r>
      <w:r w:rsidR="000828D4">
        <w:rPr>
          <w:rFonts w:ascii="FrankRuehl" w:eastAsia="Calibri" w:hAnsi="FrankRuehl" w:cs="FrankRuehl" w:hint="cs"/>
          <w:sz w:val="28"/>
          <w:szCs w:val="28"/>
          <w:rtl/>
        </w:rPr>
        <w:t xml:space="preserve"> ששי בכוחו להשפיע על החלטות בעניינה</w:t>
      </w:r>
      <w:r w:rsidR="00762A35">
        <w:rPr>
          <w:rFonts w:ascii="FrankRuehl" w:eastAsia="Calibri" w:hAnsi="FrankRuehl" w:cs="FrankRuehl"/>
          <w:sz w:val="28"/>
          <w:szCs w:val="28"/>
          <w:rtl/>
        </w:rPr>
        <w:t>. השיחות ביניהם</w:t>
      </w:r>
      <w:r w:rsidR="00762A35">
        <w:rPr>
          <w:rFonts w:ascii="FrankRuehl" w:eastAsia="Calibri" w:hAnsi="FrankRuehl" w:cs="FrankRuehl" w:hint="cs"/>
          <w:sz w:val="28"/>
          <w:szCs w:val="28"/>
          <w:rtl/>
        </w:rPr>
        <w:t xml:space="preserve"> לא היו על בסיס </w:t>
      </w:r>
      <w:r w:rsidR="00762A35">
        <w:rPr>
          <w:rFonts w:ascii="FrankRuehl" w:eastAsia="Calibri" w:hAnsi="FrankRuehl" w:cs="FrankRuehl"/>
          <w:sz w:val="28"/>
          <w:szCs w:val="28"/>
          <w:rtl/>
        </w:rPr>
        <w:t>רומנטי</w:t>
      </w:r>
      <w:r w:rsidR="00762A35">
        <w:rPr>
          <w:rFonts w:ascii="FrankRuehl" w:eastAsia="Calibri" w:hAnsi="FrankRuehl" w:cs="FrankRuehl" w:hint="cs"/>
          <w:sz w:val="28"/>
          <w:szCs w:val="28"/>
          <w:rtl/>
        </w:rPr>
        <w:t>. הקשר ביניהם נוצר אך ורק על רקע פעילותו השלטונית של הנאשם,</w:t>
      </w:r>
      <w:r w:rsidR="00762A35">
        <w:rPr>
          <w:rFonts w:ascii="FrankRuehl" w:eastAsia="Calibri" w:hAnsi="FrankRuehl" w:cs="FrankRuehl"/>
          <w:sz w:val="28"/>
          <w:szCs w:val="28"/>
          <w:rtl/>
        </w:rPr>
        <w:t xml:space="preserve"> </w:t>
      </w:r>
      <w:r w:rsidR="00762A35">
        <w:rPr>
          <w:rFonts w:ascii="FrankRuehl" w:eastAsia="Calibri" w:hAnsi="FrankRuehl" w:cs="FrankRuehl" w:hint="cs"/>
          <w:sz w:val="28"/>
          <w:szCs w:val="28"/>
          <w:rtl/>
        </w:rPr>
        <w:t xml:space="preserve">והשיחות נעשו על ידי הנאשם מתוך </w:t>
      </w:r>
      <w:r w:rsidR="00762A35">
        <w:rPr>
          <w:rFonts w:ascii="FrankRuehl" w:eastAsia="Calibri" w:hAnsi="FrankRuehl" w:cs="FrankRuehl"/>
          <w:sz w:val="28"/>
          <w:szCs w:val="28"/>
          <w:rtl/>
        </w:rPr>
        <w:t>רצון לקדם שיח מיני שיוביל למפגש מיני</w:t>
      </w:r>
      <w:r w:rsidR="00762A35">
        <w:rPr>
          <w:rFonts w:ascii="FrankRuehl" w:eastAsia="Calibri" w:hAnsi="FrankRuehl" w:cs="FrankRuehl" w:hint="cs"/>
          <w:sz w:val="28"/>
          <w:szCs w:val="28"/>
          <w:rtl/>
        </w:rPr>
        <w:t xml:space="preserve">. הנאשם </w:t>
      </w:r>
      <w:r w:rsidR="00762A35">
        <w:rPr>
          <w:rFonts w:ascii="FrankRuehl" w:eastAsia="Calibri" w:hAnsi="FrankRuehl" w:cs="FrankRuehl"/>
          <w:sz w:val="28"/>
          <w:szCs w:val="28"/>
          <w:rtl/>
        </w:rPr>
        <w:t>יזם את התוכן המיני בשיחות</w:t>
      </w:r>
      <w:r w:rsidR="00762A35">
        <w:rPr>
          <w:rFonts w:ascii="FrankRuehl" w:eastAsia="Calibri" w:hAnsi="FrankRuehl" w:cs="FrankRuehl" w:hint="cs"/>
          <w:sz w:val="28"/>
          <w:szCs w:val="28"/>
          <w:rtl/>
        </w:rPr>
        <w:t xml:space="preserve"> ובהמשך </w:t>
      </w:r>
      <w:r w:rsidR="00762A35">
        <w:rPr>
          <w:rFonts w:ascii="FrankRuehl" w:eastAsia="Calibri" w:hAnsi="FrankRuehl" w:cs="FrankRuehl"/>
          <w:sz w:val="28"/>
          <w:szCs w:val="28"/>
          <w:rtl/>
        </w:rPr>
        <w:t xml:space="preserve">הציע </w:t>
      </w:r>
      <w:r w:rsidR="00762A35">
        <w:rPr>
          <w:rFonts w:ascii="FrankRuehl" w:eastAsia="Calibri" w:hAnsi="FrankRuehl" w:cs="FrankRuehl" w:hint="cs"/>
          <w:sz w:val="28"/>
          <w:szCs w:val="28"/>
          <w:rtl/>
        </w:rPr>
        <w:t xml:space="preserve">לי' </w:t>
      </w:r>
      <w:r w:rsidR="00762A35">
        <w:rPr>
          <w:rFonts w:ascii="FrankRuehl" w:eastAsia="Calibri" w:hAnsi="FrankRuehl" w:cs="FrankRuehl"/>
          <w:sz w:val="28"/>
          <w:szCs w:val="28"/>
          <w:rtl/>
        </w:rPr>
        <w:t>שהם ייפגשו ויקיימו יחסי מין</w:t>
      </w:r>
      <w:r w:rsidR="00762A35">
        <w:rPr>
          <w:rFonts w:ascii="FrankRuehl" w:eastAsia="Calibri" w:hAnsi="FrankRuehl" w:cs="FrankRuehl" w:hint="cs"/>
          <w:sz w:val="28"/>
          <w:szCs w:val="28"/>
          <w:rtl/>
        </w:rPr>
        <w:t xml:space="preserve">. זאת עשה הנאשם </w:t>
      </w:r>
      <w:r w:rsidR="00762A35">
        <w:rPr>
          <w:rFonts w:ascii="FrankRuehl" w:eastAsia="Calibri" w:hAnsi="FrankRuehl" w:cs="FrankRuehl"/>
          <w:sz w:val="28"/>
          <w:szCs w:val="28"/>
          <w:rtl/>
        </w:rPr>
        <w:t>, ביודעו כי י' במצבה תתקשה לסרב</w:t>
      </w:r>
      <w:r w:rsidR="00762A35">
        <w:rPr>
          <w:rFonts w:ascii="FrankRuehl" w:eastAsia="Calibri" w:hAnsi="FrankRuehl" w:cs="FrankRuehl" w:hint="cs"/>
          <w:sz w:val="28"/>
          <w:szCs w:val="28"/>
          <w:rtl/>
        </w:rPr>
        <w:t xml:space="preserve">, שכן הוא פעל שהיא תבין שהוא יכול לסייע בידה במסגרת תפקידו, </w:t>
      </w:r>
      <w:r w:rsidR="0026020B">
        <w:rPr>
          <w:rFonts w:ascii="FrankRuehl" w:eastAsia="Calibri" w:hAnsi="FrankRuehl" w:cs="FrankRuehl"/>
          <w:sz w:val="28"/>
          <w:szCs w:val="28"/>
          <w:rtl/>
        </w:rPr>
        <w:t xml:space="preserve">במידה זו אחרת, אם במישרין ואם בעקיפין. </w:t>
      </w:r>
    </w:p>
    <w:p w:rsidR="00D74D97" w:rsidRDefault="00A40F30" w:rsidP="00345FA4">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12.</w:t>
      </w:r>
      <w:r>
        <w:rPr>
          <w:rFonts w:ascii="FrankRuehl" w:eastAsia="Calibri" w:hAnsi="FrankRuehl" w:cs="FrankRuehl" w:hint="cs"/>
          <w:sz w:val="28"/>
          <w:szCs w:val="28"/>
          <w:rtl/>
        </w:rPr>
        <w:tab/>
      </w:r>
      <w:r w:rsidR="00762A35">
        <w:rPr>
          <w:rFonts w:ascii="FrankRuehl" w:eastAsia="Calibri" w:hAnsi="FrankRuehl" w:cs="FrankRuehl" w:hint="cs"/>
          <w:sz w:val="28"/>
          <w:szCs w:val="28"/>
          <w:rtl/>
        </w:rPr>
        <w:t xml:space="preserve">זאת ועוד. </w:t>
      </w:r>
      <w:r w:rsidR="00345FA4">
        <w:rPr>
          <w:rFonts w:ascii="FrankRuehl" w:eastAsia="Calibri" w:hAnsi="FrankRuehl" w:cs="FrankRuehl" w:hint="cs"/>
          <w:sz w:val="28"/>
          <w:szCs w:val="28"/>
          <w:rtl/>
        </w:rPr>
        <w:t>במסגרת פעולותיו עבור י',</w:t>
      </w:r>
      <w:r w:rsidR="0026020B">
        <w:rPr>
          <w:rFonts w:ascii="FrankRuehl" w:eastAsia="Calibri" w:hAnsi="FrankRuehl" w:cs="FrankRuehl"/>
          <w:sz w:val="28"/>
          <w:szCs w:val="28"/>
          <w:rtl/>
        </w:rPr>
        <w:t xml:space="preserve"> הנאשם פעל בעניינה גם בניגוד לנוהל. </w:t>
      </w:r>
      <w:r w:rsidR="00345FA4">
        <w:rPr>
          <w:rFonts w:ascii="FrankRuehl" w:eastAsia="Calibri" w:hAnsi="FrankRuehl" w:cs="FrankRuehl" w:hint="cs"/>
          <w:sz w:val="28"/>
          <w:szCs w:val="28"/>
          <w:rtl/>
        </w:rPr>
        <w:t xml:space="preserve">משנודע בלשכה כי הקשר </w:t>
      </w:r>
      <w:r w:rsidR="0026020B">
        <w:rPr>
          <w:rFonts w:ascii="FrankRuehl" w:eastAsia="Calibri" w:hAnsi="FrankRuehl" w:cs="FrankRuehl"/>
          <w:sz w:val="28"/>
          <w:szCs w:val="28"/>
          <w:rtl/>
        </w:rPr>
        <w:t xml:space="preserve">בין י' לבעלה </w:t>
      </w:r>
      <w:r w:rsidR="00345FA4">
        <w:rPr>
          <w:rFonts w:ascii="FrankRuehl" w:eastAsia="Calibri" w:hAnsi="FrankRuehl" w:cs="FrankRuehl" w:hint="cs"/>
          <w:sz w:val="28"/>
          <w:szCs w:val="28"/>
          <w:rtl/>
        </w:rPr>
        <w:t xml:space="preserve">עלה על שרטון, </w:t>
      </w:r>
      <w:r w:rsidR="0026020B">
        <w:rPr>
          <w:rFonts w:ascii="FrankRuehl" w:eastAsia="Calibri" w:hAnsi="FrankRuehl" w:cs="FrankRuehl"/>
          <w:sz w:val="28"/>
          <w:szCs w:val="28"/>
          <w:rtl/>
        </w:rPr>
        <w:t>הנוהל חייב לפעול מול י', להזמינה לשימוע עובר להפסקת ההליך לאיחוד משפחות. שר</w:t>
      </w:r>
      <w:r w:rsidR="00345FA4">
        <w:rPr>
          <w:rFonts w:ascii="FrankRuehl" w:eastAsia="Calibri" w:hAnsi="FrankRuehl" w:cs="FrankRuehl"/>
          <w:sz w:val="28"/>
          <w:szCs w:val="28"/>
          <w:rtl/>
        </w:rPr>
        <w:t xml:space="preserve">ה ציינה זאת במפורש בפני הנאשם, </w:t>
      </w:r>
      <w:r w:rsidR="00345FA4">
        <w:rPr>
          <w:rFonts w:ascii="FrankRuehl" w:eastAsia="Calibri" w:hAnsi="FrankRuehl" w:cs="FrankRuehl" w:hint="cs"/>
          <w:sz w:val="28"/>
          <w:szCs w:val="28"/>
          <w:rtl/>
        </w:rPr>
        <w:t xml:space="preserve">אך </w:t>
      </w:r>
      <w:r w:rsidR="0026020B">
        <w:rPr>
          <w:rFonts w:ascii="FrankRuehl" w:eastAsia="Calibri" w:hAnsi="FrankRuehl" w:cs="FrankRuehl"/>
          <w:sz w:val="28"/>
          <w:szCs w:val="28"/>
          <w:rtl/>
        </w:rPr>
        <w:t>הוא בתגובה ביקש ממנה להעביר את העניין לידיו על מנת שהוא יוכל לפעול להותירה בישראל בשלב זה</w:t>
      </w:r>
      <w:r w:rsidR="00345FA4">
        <w:rPr>
          <w:rFonts w:ascii="FrankRuehl" w:eastAsia="Calibri" w:hAnsi="FrankRuehl" w:cs="FrankRuehl" w:hint="cs"/>
          <w:sz w:val="28"/>
          <w:szCs w:val="28"/>
          <w:rtl/>
        </w:rPr>
        <w:t>, על אף ש</w:t>
      </w:r>
      <w:r w:rsidR="0026020B">
        <w:rPr>
          <w:rFonts w:ascii="FrankRuehl" w:eastAsia="Calibri" w:hAnsi="FrankRuehl" w:cs="FrankRuehl"/>
          <w:sz w:val="28"/>
          <w:szCs w:val="28"/>
          <w:rtl/>
        </w:rPr>
        <w:t xml:space="preserve">טרם </w:t>
      </w:r>
      <w:r w:rsidR="0026020B">
        <w:rPr>
          <w:rFonts w:ascii="FrankRuehl" w:eastAsia="Calibri" w:hAnsi="FrankRuehl" w:cs="FrankRuehl"/>
          <w:sz w:val="28"/>
          <w:szCs w:val="28"/>
          <w:rtl/>
        </w:rPr>
        <w:lastRenderedPageBreak/>
        <w:t>ניתן היה ל</w:t>
      </w:r>
      <w:r w:rsidR="00345FA4">
        <w:rPr>
          <w:rFonts w:ascii="FrankRuehl" w:eastAsia="Calibri" w:hAnsi="FrankRuehl" w:cs="FrankRuehl" w:hint="cs"/>
          <w:sz w:val="28"/>
          <w:szCs w:val="28"/>
          <w:rtl/>
        </w:rPr>
        <w:t xml:space="preserve">עשות זאת </w:t>
      </w:r>
      <w:r w:rsidR="0026020B">
        <w:rPr>
          <w:rFonts w:ascii="FrankRuehl" w:eastAsia="Calibri" w:hAnsi="FrankRuehl" w:cs="FrankRuehl"/>
          <w:sz w:val="28"/>
          <w:szCs w:val="28"/>
          <w:rtl/>
        </w:rPr>
        <w:t>לפי החלטת 2015</w:t>
      </w:r>
      <w:r w:rsidR="00345FA4">
        <w:rPr>
          <w:rFonts w:ascii="FrankRuehl" w:eastAsia="Calibri" w:hAnsi="FrankRuehl" w:cs="FrankRuehl" w:hint="cs"/>
          <w:sz w:val="28"/>
          <w:szCs w:val="28"/>
          <w:rtl/>
        </w:rPr>
        <w:t xml:space="preserve">. הנאשם סרב </w:t>
      </w:r>
      <w:r w:rsidR="0026020B">
        <w:rPr>
          <w:rFonts w:ascii="FrankRuehl" w:eastAsia="Calibri" w:hAnsi="FrankRuehl" w:cs="FrankRuehl"/>
          <w:sz w:val="28"/>
          <w:szCs w:val="28"/>
          <w:rtl/>
        </w:rPr>
        <w:t xml:space="preserve">לרשום במערכת אביב </w:t>
      </w:r>
      <w:r w:rsidR="00345FA4">
        <w:rPr>
          <w:rFonts w:ascii="FrankRuehl" w:eastAsia="Calibri" w:hAnsi="FrankRuehl" w:cs="FrankRuehl" w:hint="cs"/>
          <w:sz w:val="28"/>
          <w:szCs w:val="28"/>
          <w:rtl/>
        </w:rPr>
        <w:t xml:space="preserve">את דבר העברת עניינה של י' לטיפולו, והוא </w:t>
      </w:r>
      <w:r w:rsidR="0026020B">
        <w:rPr>
          <w:rFonts w:ascii="FrankRuehl" w:eastAsia="Calibri" w:hAnsi="FrankRuehl" w:cs="FrankRuehl"/>
          <w:sz w:val="28"/>
          <w:szCs w:val="28"/>
          <w:rtl/>
        </w:rPr>
        <w:t>שב ושוחח עם שרה והנחה אותה כיצד לפעול בעניינה של י'</w:t>
      </w:r>
      <w:r w:rsidR="00D74D97">
        <w:rPr>
          <w:rFonts w:ascii="FrankRuehl" w:eastAsia="Calibri" w:hAnsi="FrankRuehl" w:cs="FrankRuehl" w:hint="cs"/>
          <w:sz w:val="28"/>
          <w:szCs w:val="28"/>
          <w:rtl/>
        </w:rPr>
        <w:t>.</w:t>
      </w:r>
    </w:p>
    <w:p w:rsidR="0026020B" w:rsidRDefault="0026020B" w:rsidP="00D508C1">
      <w:pPr>
        <w:spacing w:after="160" w:line="360" w:lineRule="auto"/>
        <w:jc w:val="both"/>
        <w:rPr>
          <w:rFonts w:ascii="FrankRuehl" w:eastAsia="Calibri" w:hAnsi="FrankRuehl" w:cs="FrankRuehl"/>
          <w:sz w:val="28"/>
          <w:szCs w:val="28"/>
          <w:u w:val="single"/>
          <w:rtl/>
        </w:rPr>
      </w:pPr>
    </w:p>
    <w:p w:rsidR="005F0100" w:rsidRPr="00CB4A88" w:rsidRDefault="00A40F30" w:rsidP="005F0100">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13.</w:t>
      </w:r>
      <w:r>
        <w:rPr>
          <w:rFonts w:ascii="FrankRuehl" w:eastAsia="Calibri" w:hAnsi="FrankRuehl" w:cs="FrankRuehl" w:hint="cs"/>
          <w:sz w:val="28"/>
          <w:szCs w:val="28"/>
          <w:rtl/>
        </w:rPr>
        <w:tab/>
      </w:r>
      <w:r w:rsidR="00CB4A88" w:rsidRPr="00CB4A88">
        <w:rPr>
          <w:rFonts w:ascii="FrankRuehl" w:eastAsia="Calibri" w:hAnsi="FrankRuehl" w:cs="FrankRuehl" w:hint="cs"/>
          <w:sz w:val="28"/>
          <w:szCs w:val="28"/>
          <w:rtl/>
        </w:rPr>
        <w:t xml:space="preserve">באישום נוסף, הוא </w:t>
      </w:r>
      <w:r w:rsidR="00CB4A88" w:rsidRPr="00A40F30">
        <w:rPr>
          <w:rFonts w:ascii="FrankRuehl" w:eastAsia="Calibri" w:hAnsi="FrankRuehl" w:cs="FrankRuehl" w:hint="cs"/>
          <w:b/>
          <w:bCs/>
          <w:sz w:val="28"/>
          <w:szCs w:val="28"/>
          <w:rtl/>
        </w:rPr>
        <w:t>האישום השלישי</w:t>
      </w:r>
      <w:r w:rsidR="00CB4A88" w:rsidRPr="00CB4A88">
        <w:rPr>
          <w:rFonts w:ascii="FrankRuehl" w:eastAsia="Calibri" w:hAnsi="FrankRuehl" w:cs="FrankRuehl" w:hint="cs"/>
          <w:sz w:val="28"/>
          <w:szCs w:val="28"/>
          <w:rtl/>
        </w:rPr>
        <w:t xml:space="preserve"> שבכתב האישום, </w:t>
      </w:r>
      <w:r w:rsidR="00CB4A88">
        <w:rPr>
          <w:rFonts w:ascii="FrankRuehl" w:eastAsia="Calibri" w:hAnsi="FrankRuehl" w:cs="FrankRuehl" w:hint="cs"/>
          <w:sz w:val="28"/>
          <w:szCs w:val="28"/>
          <w:rtl/>
        </w:rPr>
        <w:t>הורשע הנאשם בעבירת נוספת של לקיחת שוחד</w:t>
      </w:r>
      <w:r w:rsidR="005F0100">
        <w:rPr>
          <w:rFonts w:ascii="Calibri" w:eastAsia="Calibri" w:hAnsi="Calibri" w:cs="FrankRuehl" w:hint="cs"/>
          <w:sz w:val="22"/>
          <w:szCs w:val="28"/>
          <w:rtl/>
        </w:rPr>
        <w:t xml:space="preserve"> </w:t>
      </w:r>
      <w:r w:rsidR="005F0100" w:rsidRPr="00D74D97">
        <w:rPr>
          <w:rFonts w:ascii="Calibri" w:eastAsia="Calibri" w:hAnsi="Calibri" w:cs="FrankRuehl"/>
          <w:sz w:val="22"/>
          <w:szCs w:val="28"/>
          <w:rtl/>
        </w:rPr>
        <w:t xml:space="preserve">בנסיבות סעיף 294(א) לחוק העונשין בשל פעולותיו לקבל "מתת" בדרך של קיום יחסי מין "בעד" פעולותיו השלטוניות בעניינה של </w:t>
      </w:r>
      <w:r w:rsidR="005F0100">
        <w:rPr>
          <w:rFonts w:ascii="Calibri" w:eastAsia="Calibri" w:hAnsi="Calibri" w:cs="FrankRuehl" w:hint="cs"/>
          <w:sz w:val="22"/>
          <w:szCs w:val="28"/>
          <w:rtl/>
        </w:rPr>
        <w:t>ו</w:t>
      </w:r>
      <w:r w:rsidR="005F0100" w:rsidRPr="00D74D97">
        <w:rPr>
          <w:rFonts w:ascii="Calibri" w:eastAsia="Calibri" w:hAnsi="Calibri" w:cs="FrankRuehl"/>
          <w:sz w:val="22"/>
          <w:szCs w:val="28"/>
          <w:rtl/>
        </w:rPr>
        <w:t>'</w:t>
      </w:r>
      <w:r w:rsidR="005F0100" w:rsidRPr="00D74D97">
        <w:rPr>
          <w:rFonts w:ascii="Calibri" w:eastAsia="Calibri" w:hAnsi="Calibri" w:cs="FrankRuehl" w:hint="cs"/>
          <w:sz w:val="22"/>
          <w:szCs w:val="28"/>
          <w:rtl/>
        </w:rPr>
        <w:t>.</w:t>
      </w:r>
    </w:p>
    <w:p w:rsidR="00D508C1" w:rsidRDefault="00A40F30" w:rsidP="005F0100">
      <w:pPr>
        <w:spacing w:after="160" w:line="360" w:lineRule="auto"/>
        <w:jc w:val="both"/>
        <w:rPr>
          <w:rFonts w:ascii="FrankRuehl" w:eastAsia="Calibri" w:hAnsi="FrankRuehl" w:cs="FrankRuehl"/>
          <w:sz w:val="28"/>
          <w:szCs w:val="28"/>
          <w:u w:val="single"/>
          <w:rtl/>
        </w:rPr>
      </w:pPr>
      <w:r>
        <w:rPr>
          <w:rFonts w:ascii="FrankRuehl" w:eastAsia="Calibri" w:hAnsi="FrankRuehl" w:cs="FrankRuehl" w:hint="cs"/>
          <w:sz w:val="28"/>
          <w:szCs w:val="28"/>
          <w:rtl/>
        </w:rPr>
        <w:t>14.</w:t>
      </w:r>
      <w:r>
        <w:rPr>
          <w:rFonts w:ascii="FrankRuehl" w:eastAsia="Calibri" w:hAnsi="FrankRuehl" w:cs="FrankRuehl" w:hint="cs"/>
          <w:sz w:val="28"/>
          <w:szCs w:val="28"/>
          <w:rtl/>
        </w:rPr>
        <w:tab/>
      </w:r>
      <w:r w:rsidR="005F0100">
        <w:rPr>
          <w:rFonts w:ascii="FrankRuehl" w:eastAsia="Calibri" w:hAnsi="FrankRuehl" w:cs="FrankRuehl" w:hint="cs"/>
          <w:sz w:val="28"/>
          <w:szCs w:val="28"/>
          <w:rtl/>
        </w:rPr>
        <w:t xml:space="preserve">ו' פנתה אל הנאשם </w:t>
      </w:r>
      <w:r w:rsidR="005F0100">
        <w:rPr>
          <w:rFonts w:ascii="FrankRuehl" w:eastAsia="Calibri" w:hAnsi="FrankRuehl" w:cs="FrankRuehl"/>
          <w:sz w:val="28"/>
          <w:szCs w:val="28"/>
          <w:rtl/>
        </w:rPr>
        <w:t>ביום 7.02.16</w:t>
      </w:r>
      <w:r w:rsidR="00D508C1">
        <w:rPr>
          <w:rFonts w:ascii="FrankRuehl" w:eastAsia="Calibri" w:hAnsi="FrankRuehl" w:cs="FrankRuehl"/>
          <w:sz w:val="28"/>
          <w:szCs w:val="28"/>
          <w:rtl/>
        </w:rPr>
        <w:t>, וביקשה את עזרתו לקבלת אשרת תייר עבור אחיה ואחותה (להלן: "</w:t>
      </w:r>
      <w:r w:rsidR="00D508C1">
        <w:rPr>
          <w:rFonts w:ascii="FrankRuehl" w:eastAsia="Calibri" w:hAnsi="FrankRuehl" w:cs="FrankRuehl"/>
          <w:b/>
          <w:bCs/>
          <w:sz w:val="28"/>
          <w:szCs w:val="28"/>
          <w:rtl/>
        </w:rPr>
        <w:t>האחים</w:t>
      </w:r>
      <w:r w:rsidR="00D508C1">
        <w:rPr>
          <w:rFonts w:ascii="FrankRuehl" w:eastAsia="Calibri" w:hAnsi="FrankRuehl" w:cs="FrankRuehl"/>
          <w:sz w:val="28"/>
          <w:szCs w:val="28"/>
          <w:rtl/>
        </w:rPr>
        <w:t xml:space="preserve">"), שהגישה ביום 10.01.16, זאת לרגל חתונת בנה של אמה א' שעתידה להתקיים ביום 18.02.16. ו' ציינה בפני הנאשם כי להבנתה, אישורה הסופי של הבקשה מצוי בידיו. </w:t>
      </w:r>
    </w:p>
    <w:p w:rsidR="00B87970" w:rsidRDefault="00A40F30" w:rsidP="00B87970">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15.</w:t>
      </w:r>
      <w:r>
        <w:rPr>
          <w:rFonts w:ascii="FrankRuehl" w:eastAsia="Calibri" w:hAnsi="FrankRuehl" w:cs="FrankRuehl" w:hint="cs"/>
          <w:sz w:val="28"/>
          <w:szCs w:val="28"/>
          <w:rtl/>
        </w:rPr>
        <w:tab/>
      </w:r>
      <w:r w:rsidR="005F0100">
        <w:rPr>
          <w:rFonts w:ascii="FrankRuehl" w:eastAsia="Calibri" w:hAnsi="FrankRuehl" w:cs="FrankRuehl" w:hint="cs"/>
          <w:sz w:val="28"/>
          <w:szCs w:val="28"/>
          <w:rtl/>
        </w:rPr>
        <w:t>ב</w:t>
      </w:r>
      <w:r w:rsidR="00D508C1">
        <w:rPr>
          <w:rFonts w:ascii="FrankRuehl" w:eastAsia="Calibri" w:hAnsi="FrankRuehl" w:cs="FrankRuehl"/>
          <w:sz w:val="28"/>
          <w:szCs w:val="28"/>
          <w:rtl/>
        </w:rPr>
        <w:t xml:space="preserve">יום 8.02.16 אישרה הלשכה הרלוונטית את מתן האשרות לאחים, זאת בכפוף להצגת כרטיסי טיסה הלוך ושוב, ואימות קשרי משפחה בין האחים לא' על ידי הקונסוליה הישראלית באתיופיה. ביום 9.02.16, פנתה ו' פעם נוספת אל הנאשם, על מנת שיברר עבורה כיצד מתקדם הטיפול בבקשה. תחילה, השיב הנאשם לו' כי אסור לו להעביר לה מידע על כך, אולם לאחר הפצרותיה, נענה לבקשתה. </w:t>
      </w:r>
      <w:r w:rsidR="0072681B">
        <w:rPr>
          <w:rFonts w:ascii="FrankRuehl" w:hAnsi="FrankRuehl" w:cs="FrankRuehl" w:hint="cs"/>
          <w:sz w:val="28"/>
          <w:szCs w:val="28"/>
          <w:rtl/>
        </w:rPr>
        <w:t xml:space="preserve">זאת עשה כדי </w:t>
      </w:r>
      <w:r w:rsidR="0072681B">
        <w:rPr>
          <w:rFonts w:ascii="FrankRuehl" w:hAnsi="FrankRuehl" w:cs="FrankRuehl"/>
          <w:sz w:val="28"/>
          <w:szCs w:val="28"/>
          <w:rtl/>
        </w:rPr>
        <w:t xml:space="preserve">לחזק אצל ו' את התחושה כי הנאשם פועל עבורה באופן מיוחד גם בניגוד לנהלים. </w:t>
      </w:r>
      <w:r w:rsidR="00D508C1">
        <w:rPr>
          <w:rFonts w:ascii="FrankRuehl" w:eastAsia="Calibri" w:hAnsi="FrankRuehl" w:cs="FrankRuehl"/>
          <w:sz w:val="28"/>
          <w:szCs w:val="28"/>
          <w:rtl/>
        </w:rPr>
        <w:t xml:space="preserve">הנאשם בדק במאגרי המידע של הרשות את סטטוס הבקשה, </w:t>
      </w:r>
      <w:r w:rsidR="00B87970">
        <w:rPr>
          <w:rFonts w:ascii="FrankRuehl" w:hAnsi="FrankRuehl" w:cs="FrankRuehl"/>
          <w:sz w:val="28"/>
          <w:szCs w:val="28"/>
          <w:rtl/>
        </w:rPr>
        <w:t>ואמר לו' שלא לספר על כך שהוא ביצע עבורה בדיקות במאגרי המידע של הרשות</w:t>
      </w:r>
      <w:r w:rsidR="00B87970">
        <w:rPr>
          <w:rFonts w:ascii="FrankRuehl" w:eastAsia="Calibri" w:hAnsi="FrankRuehl" w:cs="FrankRuehl" w:hint="cs"/>
          <w:sz w:val="28"/>
          <w:szCs w:val="28"/>
          <w:rtl/>
        </w:rPr>
        <w:t xml:space="preserve">. </w:t>
      </w:r>
    </w:p>
    <w:p w:rsidR="007C006C" w:rsidRDefault="00A40F30" w:rsidP="007C006C">
      <w:pPr>
        <w:spacing w:after="160" w:line="360" w:lineRule="auto"/>
        <w:jc w:val="both"/>
        <w:rPr>
          <w:rFonts w:ascii="FrankRuehl" w:hAnsi="FrankRuehl" w:cs="FrankRuehl"/>
          <w:sz w:val="28"/>
          <w:szCs w:val="28"/>
          <w:rtl/>
        </w:rPr>
      </w:pPr>
      <w:r>
        <w:rPr>
          <w:rFonts w:ascii="FrankRuehl" w:eastAsia="Calibri" w:hAnsi="FrankRuehl" w:cs="FrankRuehl" w:hint="cs"/>
          <w:sz w:val="28"/>
          <w:szCs w:val="28"/>
          <w:rtl/>
        </w:rPr>
        <w:t>16.</w:t>
      </w:r>
      <w:r>
        <w:rPr>
          <w:rFonts w:ascii="FrankRuehl" w:eastAsia="Calibri" w:hAnsi="FrankRuehl" w:cs="FrankRuehl" w:hint="cs"/>
          <w:sz w:val="28"/>
          <w:szCs w:val="28"/>
          <w:rtl/>
        </w:rPr>
        <w:tab/>
      </w:r>
      <w:r w:rsidR="00B87970">
        <w:rPr>
          <w:rFonts w:ascii="FrankRuehl" w:eastAsia="Calibri" w:hAnsi="FrankRuehl" w:cs="FrankRuehl" w:hint="cs"/>
          <w:sz w:val="28"/>
          <w:szCs w:val="28"/>
          <w:rtl/>
        </w:rPr>
        <w:t xml:space="preserve">הנאשם </w:t>
      </w:r>
      <w:r w:rsidR="00D508C1">
        <w:rPr>
          <w:rFonts w:ascii="FrankRuehl" w:eastAsia="Calibri" w:hAnsi="FrankRuehl" w:cs="FrankRuehl"/>
          <w:sz w:val="28"/>
          <w:szCs w:val="28"/>
          <w:rtl/>
        </w:rPr>
        <w:t>שאל את ו' מה התשובה שהיא רוצה לקבל. ו' השיבה "דברים טובים", ובתגובה, ותוך שהוא מנצל את מעמדו ואת תלותה של ו' בו, הוא שאל את ו' מה היא מבטיחה לו בתמורה. ו' השיבה כי היא מוכנה לקיים יחסי מין עמו וכי הם יאתרו מקום לשם כך. בתגובה,</w:t>
      </w:r>
      <w:r w:rsidR="00B87970">
        <w:rPr>
          <w:rFonts w:ascii="FrankRuehl" w:eastAsia="Calibri" w:hAnsi="FrankRuehl" w:cs="FrankRuehl"/>
          <w:sz w:val="28"/>
          <w:szCs w:val="28"/>
          <w:rtl/>
        </w:rPr>
        <w:t xml:space="preserve"> הודיע הנאשם לו' כי הבקשה אושרה</w:t>
      </w:r>
      <w:r w:rsidR="00B87970">
        <w:rPr>
          <w:rFonts w:ascii="FrankRuehl" w:eastAsia="Calibri" w:hAnsi="FrankRuehl" w:cs="FrankRuehl" w:hint="cs"/>
          <w:sz w:val="28"/>
          <w:szCs w:val="28"/>
          <w:rtl/>
        </w:rPr>
        <w:t xml:space="preserve">, ביודעו </w:t>
      </w:r>
      <w:r w:rsidR="00B87970">
        <w:rPr>
          <w:rFonts w:ascii="FrankRuehl" w:hAnsi="FrankRuehl" w:cs="FrankRuehl"/>
          <w:sz w:val="28"/>
          <w:szCs w:val="28"/>
          <w:rtl/>
        </w:rPr>
        <w:t>כי ו' רצתה מאוד לקבל את האישור לכניסתם לישראל של המוזמנים לחתונה אחיה ושהיא תהיה מוכנה לעשות הרבה עבור מטרה זו</w:t>
      </w:r>
      <w:r w:rsidR="00B87970">
        <w:rPr>
          <w:rFonts w:ascii="FrankRuehl" w:hAnsi="FrankRuehl" w:cs="FrankRuehl" w:hint="cs"/>
          <w:sz w:val="28"/>
          <w:szCs w:val="28"/>
          <w:rtl/>
        </w:rPr>
        <w:t xml:space="preserve">. </w:t>
      </w:r>
      <w:r w:rsidR="00B87970">
        <w:rPr>
          <w:rFonts w:ascii="FrankRuehl" w:eastAsia="Calibri" w:hAnsi="FrankRuehl" w:cs="FrankRuehl"/>
          <w:sz w:val="28"/>
          <w:szCs w:val="28"/>
          <w:rtl/>
        </w:rPr>
        <w:t>ו' הודתה לנאשם</w:t>
      </w:r>
      <w:r w:rsidR="007C006C">
        <w:rPr>
          <w:rFonts w:ascii="FrankRuehl" w:eastAsia="Calibri" w:hAnsi="FrankRuehl" w:cs="FrankRuehl" w:hint="cs"/>
          <w:sz w:val="28"/>
          <w:szCs w:val="28"/>
          <w:rtl/>
        </w:rPr>
        <w:t xml:space="preserve">, ומתוך </w:t>
      </w:r>
      <w:r w:rsidR="007C006C">
        <w:rPr>
          <w:rFonts w:ascii="FrankRuehl" w:hAnsi="FrankRuehl" w:cs="FrankRuehl"/>
          <w:sz w:val="28"/>
          <w:szCs w:val="28"/>
          <w:rtl/>
        </w:rPr>
        <w:t>חששה שאם לא תגיב לנאשם בחיוב, לא תאושר הבקשה לכניסת בני משפחתה לחתונה</w:t>
      </w:r>
      <w:r w:rsidR="007C006C">
        <w:rPr>
          <w:rFonts w:ascii="FrankRuehl" w:hAnsi="FrankRuehl" w:cs="FrankRuehl" w:hint="cs"/>
          <w:sz w:val="28"/>
          <w:szCs w:val="28"/>
          <w:rtl/>
        </w:rPr>
        <w:t xml:space="preserve">, </w:t>
      </w:r>
      <w:r w:rsidR="007C006C">
        <w:rPr>
          <w:rFonts w:ascii="FrankRuehl" w:eastAsia="Calibri" w:hAnsi="FrankRuehl" w:cs="FrankRuehl"/>
          <w:sz w:val="28"/>
          <w:szCs w:val="28"/>
          <w:rtl/>
        </w:rPr>
        <w:t>הבטיחה להתקשר אליו.</w:t>
      </w:r>
      <w:r w:rsidR="007C006C">
        <w:rPr>
          <w:rFonts w:ascii="FrankRuehl" w:eastAsia="Calibri" w:hAnsi="FrankRuehl" w:cs="FrankRuehl" w:hint="cs"/>
          <w:sz w:val="28"/>
          <w:szCs w:val="28"/>
          <w:rtl/>
        </w:rPr>
        <w:t xml:space="preserve"> </w:t>
      </w:r>
    </w:p>
    <w:p w:rsidR="00D508C1" w:rsidRDefault="00A40F30" w:rsidP="00D508C1">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17.</w:t>
      </w:r>
      <w:r>
        <w:rPr>
          <w:rFonts w:ascii="FrankRuehl" w:eastAsia="Calibri" w:hAnsi="FrankRuehl" w:cs="FrankRuehl" w:hint="cs"/>
          <w:sz w:val="28"/>
          <w:szCs w:val="28"/>
          <w:rtl/>
        </w:rPr>
        <w:tab/>
      </w:r>
      <w:r w:rsidR="00D508C1">
        <w:rPr>
          <w:rFonts w:ascii="FrankRuehl" w:eastAsia="Calibri" w:hAnsi="FrankRuehl" w:cs="FrankRuehl"/>
          <w:sz w:val="28"/>
          <w:szCs w:val="28"/>
          <w:rtl/>
        </w:rPr>
        <w:t xml:space="preserve">כשבוע לאחר מכן, ביום 15.02.16, שוחח הנאשם עם פנינה בן שושן, רכזת האשרות בלשכה הרלוונטית (להלן: "פנינה"). הנאשם הסביר לפנינה, כי האחים רכשו כרטיסי טיסה, אך בקשתם לקבלת ויזה לכניסה לישראל נדחתה היות והם לא הציגו תעודות לידה מקוריות לגורמים </w:t>
      </w:r>
      <w:r w:rsidR="00D508C1">
        <w:rPr>
          <w:rFonts w:ascii="FrankRuehl" w:eastAsia="Calibri" w:hAnsi="FrankRuehl" w:cs="FrankRuehl"/>
          <w:sz w:val="28"/>
          <w:szCs w:val="28"/>
          <w:rtl/>
        </w:rPr>
        <w:lastRenderedPageBreak/>
        <w:t>הרלוונטיים. פנינה השיבה, כי ללא הצגת תעודות הלידה המקוריות, לא ניתן לבחון את קשרי המשפחה של האחים, ועל כן לא ניתן לאשר את האשרה. בתגובה אמר הנאשם לפנינה כי אין כל מחלוקת בדבר הקשר המשפחתי בין האחים לא', ושאל אם ניתן לאשר את מתן הוויזות. פנינה השיבה כי אין ביכולתה לסייע, וכי הבדיקות בדבר הקשר המשפחתי מתבצעות אך על ידי הקונסוליה או הדסק האתיופי.</w:t>
      </w:r>
    </w:p>
    <w:p w:rsidR="005F0100" w:rsidRDefault="00A40F30" w:rsidP="005F0100">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18.</w:t>
      </w:r>
      <w:r>
        <w:rPr>
          <w:rFonts w:ascii="FrankRuehl" w:eastAsia="Calibri" w:hAnsi="FrankRuehl" w:cs="FrankRuehl" w:hint="cs"/>
          <w:sz w:val="28"/>
          <w:szCs w:val="28"/>
          <w:rtl/>
        </w:rPr>
        <w:tab/>
      </w:r>
      <w:r w:rsidR="005F0100">
        <w:rPr>
          <w:rFonts w:ascii="FrankRuehl" w:eastAsia="Calibri" w:hAnsi="FrankRuehl" w:cs="FrankRuehl" w:hint="cs"/>
          <w:sz w:val="28"/>
          <w:szCs w:val="28"/>
          <w:rtl/>
        </w:rPr>
        <w:t xml:space="preserve">בהמשך, </w:t>
      </w:r>
      <w:r w:rsidR="00D508C1">
        <w:rPr>
          <w:rFonts w:ascii="FrankRuehl" w:eastAsia="Calibri" w:hAnsi="FrankRuehl" w:cs="FrankRuehl"/>
          <w:sz w:val="28"/>
          <w:szCs w:val="28"/>
          <w:rtl/>
        </w:rPr>
        <w:t xml:space="preserve">ביום 16.02.16, פנתה ו' אל הנאשם וביקשה את עזרתו פעם נוספת, והלה השיב כי הוא יבצע בדיקה בנושא. בתגובה, שאל הנאשם את ו' כיצד היא מחכה לו, וזו השיבה "איך שאתה רוצה". באותו היום, ולאחר השיחה עם ו', פנתה פנינה אל הנאשם וסיפרה לו כי נציגים </w:t>
      </w:r>
      <w:r w:rsidR="000828D4">
        <w:rPr>
          <w:rFonts w:ascii="FrankRuehl" w:eastAsia="Calibri" w:hAnsi="FrankRuehl" w:cs="FrankRuehl"/>
          <w:sz w:val="28"/>
          <w:szCs w:val="28"/>
          <w:rtl/>
        </w:rPr>
        <w:t>ממשפחתה של ו' פנו אליה, והתייעצ</w:t>
      </w:r>
      <w:r w:rsidR="000828D4">
        <w:rPr>
          <w:rFonts w:ascii="FrankRuehl" w:eastAsia="Calibri" w:hAnsi="FrankRuehl" w:cs="FrankRuehl" w:hint="cs"/>
          <w:sz w:val="28"/>
          <w:szCs w:val="28"/>
          <w:rtl/>
        </w:rPr>
        <w:t>ה</w:t>
      </w:r>
      <w:r w:rsidR="00D508C1">
        <w:rPr>
          <w:rFonts w:ascii="FrankRuehl" w:eastAsia="Calibri" w:hAnsi="FrankRuehl" w:cs="FrankRuehl"/>
          <w:sz w:val="28"/>
          <w:szCs w:val="28"/>
          <w:rtl/>
        </w:rPr>
        <w:t xml:space="preserve"> עמו כיצד לפעול. הנאשם השיב לפנינה כי שוחח עם מר טדי פקדה, עובד הקונסוליה באדיס אבבא (להלן: "טדי"), אשר אמון על הנפקת הוויזות, וזה מסר לו כי ככל שפנינה או הנאשם יאשרו בכתב את קשרי המשפחה של האחים לא', ניתן יהיה להנפיק להם את הוויזות. בתגובה, ציינה פנינה בפני הנאשם כי היא התנתה את מתן האשרות בהוכחת קשרי משפחה, אך פתוחה בפניו הדרך להחליט בהתאם לשיקול דעתו. בהמשך, הורה הנאשם לפנינה לשלוח לו את האשרות, וציין כי הוא יורה לטדי להנפיק לאחים את הוויזות.</w:t>
      </w:r>
      <w:r w:rsidR="005F0100">
        <w:rPr>
          <w:rFonts w:ascii="FrankRuehl" w:eastAsia="Calibri" w:hAnsi="FrankRuehl" w:cs="FrankRuehl" w:hint="cs"/>
          <w:sz w:val="28"/>
          <w:szCs w:val="28"/>
          <w:rtl/>
        </w:rPr>
        <w:t xml:space="preserve"> </w:t>
      </w:r>
      <w:r w:rsidR="00D508C1">
        <w:rPr>
          <w:rFonts w:ascii="FrankRuehl" w:eastAsia="Calibri" w:hAnsi="FrankRuehl" w:cs="FrankRuehl"/>
          <w:sz w:val="28"/>
          <w:szCs w:val="28"/>
          <w:rtl/>
        </w:rPr>
        <w:t xml:space="preserve">לאחר מכן, שוחח הנאשם עם טדי ובהמשך לשיחה זו הוא שלח לטדי בדואר אלקטרוני מסמך בו צוין כי לאחר התייעצות עם פנינה, הוחלט להנפיק לאחים אישורי וויזה ללא אימות מסמכים, שכן מבדיקת המטה נמצא כי קיים הקשר המשפחתי הנדרש. </w:t>
      </w:r>
    </w:p>
    <w:p w:rsidR="00D508C1" w:rsidRDefault="00D508C1" w:rsidP="005F0100">
      <w:pPr>
        <w:spacing w:after="160" w:line="360" w:lineRule="auto"/>
        <w:jc w:val="both"/>
        <w:rPr>
          <w:rFonts w:ascii="FrankRuehl" w:eastAsia="Calibri" w:hAnsi="FrankRuehl" w:cs="FrankRuehl"/>
          <w:sz w:val="28"/>
          <w:szCs w:val="28"/>
          <w:rtl/>
        </w:rPr>
      </w:pPr>
    </w:p>
    <w:p w:rsidR="00345D87" w:rsidRDefault="00A40F30" w:rsidP="00345D87">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19.</w:t>
      </w:r>
      <w:r>
        <w:rPr>
          <w:rFonts w:ascii="FrankRuehl" w:eastAsia="Calibri" w:hAnsi="FrankRuehl" w:cs="FrankRuehl" w:hint="cs"/>
          <w:sz w:val="28"/>
          <w:szCs w:val="28"/>
          <w:rtl/>
        </w:rPr>
        <w:tab/>
      </w:r>
      <w:r w:rsidR="00345D87" w:rsidRPr="00CB4A88">
        <w:rPr>
          <w:rFonts w:ascii="FrankRuehl" w:eastAsia="Calibri" w:hAnsi="FrankRuehl" w:cs="FrankRuehl" w:hint="cs"/>
          <w:sz w:val="28"/>
          <w:szCs w:val="28"/>
          <w:rtl/>
        </w:rPr>
        <w:t xml:space="preserve">באישום נוסף, הוא </w:t>
      </w:r>
      <w:r w:rsidR="00345D87" w:rsidRPr="00A40F30">
        <w:rPr>
          <w:rFonts w:ascii="FrankRuehl" w:eastAsia="Calibri" w:hAnsi="FrankRuehl" w:cs="FrankRuehl" w:hint="cs"/>
          <w:b/>
          <w:bCs/>
          <w:sz w:val="28"/>
          <w:szCs w:val="28"/>
          <w:rtl/>
        </w:rPr>
        <w:t>האישום החמישי</w:t>
      </w:r>
      <w:r w:rsidR="00345D87" w:rsidRPr="00CB4A88">
        <w:rPr>
          <w:rFonts w:ascii="FrankRuehl" w:eastAsia="Calibri" w:hAnsi="FrankRuehl" w:cs="FrankRuehl" w:hint="cs"/>
          <w:sz w:val="28"/>
          <w:szCs w:val="28"/>
          <w:rtl/>
        </w:rPr>
        <w:t xml:space="preserve"> שבכתב האישום, </w:t>
      </w:r>
      <w:r w:rsidR="00345D87">
        <w:rPr>
          <w:rFonts w:ascii="FrankRuehl" w:eastAsia="Calibri" w:hAnsi="FrankRuehl" w:cs="FrankRuehl" w:hint="cs"/>
          <w:sz w:val="28"/>
          <w:szCs w:val="28"/>
          <w:rtl/>
        </w:rPr>
        <w:t>הורשע הנאשם בעבירת נוספת של לקיחת שוחד</w:t>
      </w:r>
      <w:r w:rsidR="00345D87">
        <w:rPr>
          <w:rFonts w:ascii="Calibri" w:eastAsia="Calibri" w:hAnsi="Calibri" w:cs="FrankRuehl" w:hint="cs"/>
          <w:sz w:val="22"/>
          <w:szCs w:val="28"/>
          <w:rtl/>
        </w:rPr>
        <w:t xml:space="preserve"> </w:t>
      </w:r>
      <w:r w:rsidR="00345D87" w:rsidRPr="00D74D97">
        <w:rPr>
          <w:rFonts w:ascii="Calibri" w:eastAsia="Calibri" w:hAnsi="Calibri" w:cs="FrankRuehl"/>
          <w:sz w:val="22"/>
          <w:szCs w:val="28"/>
          <w:rtl/>
        </w:rPr>
        <w:t xml:space="preserve">בנסיבות סעיף 294(א) לחוק העונשין בשל פעולותיו לקבל "מתת" בדרך של קיום יחסי מין "בעד" פעולותיו השלטוניות בעניינה של </w:t>
      </w:r>
      <w:r w:rsidR="00345D87">
        <w:rPr>
          <w:rFonts w:ascii="Calibri" w:eastAsia="Calibri" w:hAnsi="Calibri" w:cs="FrankRuehl" w:hint="cs"/>
          <w:sz w:val="22"/>
          <w:szCs w:val="28"/>
          <w:rtl/>
        </w:rPr>
        <w:t>ט</w:t>
      </w:r>
      <w:r w:rsidR="00345D87" w:rsidRPr="00D74D97">
        <w:rPr>
          <w:rFonts w:ascii="Calibri" w:eastAsia="Calibri" w:hAnsi="Calibri" w:cs="FrankRuehl"/>
          <w:sz w:val="22"/>
          <w:szCs w:val="28"/>
          <w:rtl/>
        </w:rPr>
        <w:t>'</w:t>
      </w:r>
      <w:r w:rsidR="00345D87">
        <w:rPr>
          <w:rFonts w:ascii="Calibri" w:eastAsia="Calibri" w:hAnsi="Calibri" w:cs="FrankRuehl" w:hint="cs"/>
          <w:sz w:val="22"/>
          <w:szCs w:val="28"/>
          <w:rtl/>
        </w:rPr>
        <w:t xml:space="preserve">, </w:t>
      </w:r>
      <w:r w:rsidR="00D508C1">
        <w:rPr>
          <w:rFonts w:ascii="FrankRuehl" w:eastAsia="Calibri" w:hAnsi="FrankRuehl" w:cs="FrankRuehl"/>
          <w:sz w:val="28"/>
          <w:szCs w:val="28"/>
          <w:rtl/>
        </w:rPr>
        <w:t xml:space="preserve">בת לאם נוצרייה שנכנסה לישראל מכוח נישואיה לבן זוג שנכנס לישראל מכוח החלטת הממשלה בעניין בני הפלשמורה. </w:t>
      </w:r>
    </w:p>
    <w:p w:rsidR="00D508C1" w:rsidRDefault="00A40F30" w:rsidP="00345D87">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20.</w:t>
      </w:r>
      <w:r>
        <w:rPr>
          <w:rFonts w:ascii="FrankRuehl" w:eastAsia="Calibri" w:hAnsi="FrankRuehl" w:cs="FrankRuehl" w:hint="cs"/>
          <w:sz w:val="28"/>
          <w:szCs w:val="28"/>
          <w:rtl/>
        </w:rPr>
        <w:tab/>
      </w:r>
      <w:r w:rsidR="00345D87">
        <w:rPr>
          <w:rFonts w:ascii="FrankRuehl" w:eastAsia="Calibri" w:hAnsi="FrankRuehl" w:cs="FrankRuehl" w:hint="cs"/>
          <w:sz w:val="28"/>
          <w:szCs w:val="28"/>
          <w:rtl/>
        </w:rPr>
        <w:t xml:space="preserve">ט' פנתה לרשות </w:t>
      </w:r>
      <w:r w:rsidR="00345D87">
        <w:rPr>
          <w:rFonts w:ascii="FrankRuehl" w:eastAsia="Calibri" w:hAnsi="FrankRuehl" w:cs="FrankRuehl"/>
          <w:sz w:val="28"/>
          <w:szCs w:val="28"/>
          <w:rtl/>
        </w:rPr>
        <w:t xml:space="preserve">בתחילת שנת 2011 </w:t>
      </w:r>
      <w:r w:rsidR="00D508C1">
        <w:rPr>
          <w:rFonts w:ascii="FrankRuehl" w:eastAsia="Calibri" w:hAnsi="FrankRuehl" w:cs="FrankRuehl"/>
          <w:sz w:val="28"/>
          <w:szCs w:val="28"/>
          <w:rtl/>
        </w:rPr>
        <w:t xml:space="preserve">על מנת לקדם את עליית הוריה מאתיופיה, בשל המצב הקשה בו הם היו מצויים באדיס אבבא ובשל התדרדרות רפואית של אחד מאחיה. ביום 13.03.11 היא קיבלה מענה כי בקשתה סורבה בשל כך שלא מתקיימים הקריטריונים המזכים במתן האשרה. מאז, המשיכה ט' במאמציה להבאת בני משפחתה לישראל באמצעות פניות לנאשם. הנאשם סייע לה בעניינים שונים במסגרת תפקידו, לרבות מול הרשות.   </w:t>
      </w:r>
    </w:p>
    <w:p w:rsidR="00D508C1" w:rsidRDefault="00A40F30" w:rsidP="00345D87">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lastRenderedPageBreak/>
        <w:t>21.</w:t>
      </w:r>
      <w:r>
        <w:rPr>
          <w:rFonts w:ascii="FrankRuehl" w:eastAsia="Calibri" w:hAnsi="FrankRuehl" w:cs="FrankRuehl" w:hint="cs"/>
          <w:sz w:val="28"/>
          <w:szCs w:val="28"/>
          <w:rtl/>
        </w:rPr>
        <w:tab/>
      </w:r>
      <w:r w:rsidR="00D508C1">
        <w:rPr>
          <w:rFonts w:ascii="FrankRuehl" w:eastAsia="Calibri" w:hAnsi="FrankRuehl" w:cs="FrankRuehl"/>
          <w:sz w:val="28"/>
          <w:szCs w:val="28"/>
          <w:rtl/>
        </w:rPr>
        <w:t xml:space="preserve">בחלוף מספר שנים, לאחר קבלת החלטת הממשלה בעניין בני הפלשמורה משנת 2015, פנתה ט' לנאשם בבקשה לברר אם בני משפחתה עומדים בקריטריונים הנדרשים לפי אותה החלטה. הנאשם בדק ברשימות משרד הפנים, ומצא שחלקם אינם מופיעים בה. הוא עדכן את ט' בתוצאות הבדיקה, וזו הביעה בפניו דאגה וחשש. אז אמר לה הנאשם, כי בני משפחתה עומדים בקריטריונים וכי הוא יפנה לרב מנחם ולדמן האחראי על הרשימות, לברר לגבי בני משפחתה. ואכן, הנאשם פנה לרב ולדמן על מנת לסייע לט'. בהמשך, ועד לחודש מרץ 2016, סייע הנאשם לט'. הוא ייעץ לה בכתיבת פניות למשרד הפנים, ועדכן אותה ביחס להעלאת בני משפחתה לישראל. בנוסף, נכנס הנאשם לתיק הממוחשב של ט' במערכת של הרשות, במספר הזדמנויות רב, מבלי שהייתה לכך הצדקה מקצועית. </w:t>
      </w:r>
    </w:p>
    <w:p w:rsidR="00F95A60" w:rsidRDefault="00A40F30" w:rsidP="00D508C1">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22.</w:t>
      </w:r>
      <w:r>
        <w:rPr>
          <w:rFonts w:ascii="FrankRuehl" w:eastAsia="Calibri" w:hAnsi="FrankRuehl" w:cs="FrankRuehl" w:hint="cs"/>
          <w:sz w:val="28"/>
          <w:szCs w:val="28"/>
          <w:rtl/>
        </w:rPr>
        <w:tab/>
      </w:r>
      <w:r w:rsidR="00D508C1">
        <w:rPr>
          <w:rFonts w:ascii="FrankRuehl" w:eastAsia="Calibri" w:hAnsi="FrankRuehl" w:cs="FrankRuehl"/>
          <w:sz w:val="28"/>
          <w:szCs w:val="28"/>
          <w:rtl/>
        </w:rPr>
        <w:t xml:space="preserve">בסמוך לחודש מאי 2015 ולאחר שט' נפרדה מבן זוגה, פנה הנאשם אל ט' על מנת לקבל ממנה מתת מיני תמורת סיועו לה, כשהוא מודע לתלות שפיתחה בו כאיש הקשר שלה ברשות, ולתקוותה כי בקשתה תאושר בסיועו. בהמשך, במהלך חודש ינואר 2016, הגיע הנאשם אל ביתה של ט' וקיים עמה יחסי מין. </w:t>
      </w:r>
    </w:p>
    <w:p w:rsidR="00F95A60" w:rsidRDefault="00A40F30" w:rsidP="00F95A60">
      <w:pPr>
        <w:spacing w:after="160" w:line="360" w:lineRule="auto"/>
        <w:jc w:val="both"/>
        <w:rPr>
          <w:rFonts w:ascii="FrankRuehl" w:hAnsi="FrankRuehl" w:cs="FrankRuehl"/>
          <w:sz w:val="28"/>
          <w:szCs w:val="28"/>
          <w:rtl/>
        </w:rPr>
      </w:pPr>
      <w:r>
        <w:rPr>
          <w:rFonts w:ascii="FrankRuehl" w:hAnsi="FrankRuehl" w:cs="FrankRuehl" w:hint="cs"/>
          <w:sz w:val="28"/>
          <w:szCs w:val="28"/>
          <w:rtl/>
        </w:rPr>
        <w:t>23.</w:t>
      </w:r>
      <w:r>
        <w:rPr>
          <w:rFonts w:ascii="FrankRuehl" w:hAnsi="FrankRuehl" w:cs="FrankRuehl" w:hint="cs"/>
          <w:sz w:val="28"/>
          <w:szCs w:val="28"/>
          <w:rtl/>
        </w:rPr>
        <w:tab/>
      </w:r>
      <w:r w:rsidR="00F95A60">
        <w:rPr>
          <w:rFonts w:ascii="FrankRuehl" w:hAnsi="FrankRuehl" w:cs="FrankRuehl"/>
          <w:sz w:val="28"/>
          <w:szCs w:val="28"/>
          <w:rtl/>
        </w:rPr>
        <w:t xml:space="preserve">יחסי מין </w:t>
      </w:r>
      <w:r w:rsidR="00F95A60">
        <w:rPr>
          <w:rFonts w:ascii="FrankRuehl" w:hAnsi="FrankRuehl" w:cs="FrankRuehl" w:hint="cs"/>
          <w:sz w:val="28"/>
          <w:szCs w:val="28"/>
          <w:rtl/>
        </w:rPr>
        <w:t xml:space="preserve">אלו לא התקיימו על רקע רומנטי שלא היה קיים </w:t>
      </w:r>
      <w:r w:rsidR="00F95A60">
        <w:rPr>
          <w:rFonts w:ascii="FrankRuehl" w:hAnsi="FrankRuehl" w:cs="FrankRuehl"/>
          <w:sz w:val="28"/>
          <w:szCs w:val="28"/>
          <w:rtl/>
        </w:rPr>
        <w:t>בין הנאשם וט'</w:t>
      </w:r>
      <w:r w:rsidR="00F95A60">
        <w:rPr>
          <w:rFonts w:ascii="FrankRuehl" w:hAnsi="FrankRuehl" w:cs="FrankRuehl" w:hint="cs"/>
          <w:sz w:val="28"/>
          <w:szCs w:val="28"/>
          <w:rtl/>
        </w:rPr>
        <w:t>. הם התקיימו</w:t>
      </w:r>
      <w:r w:rsidR="00F95A60" w:rsidRPr="00F95A60">
        <w:rPr>
          <w:rFonts w:ascii="FrankRuehl" w:hAnsi="FrankRuehl" w:cs="FrankRuehl"/>
          <w:sz w:val="28"/>
          <w:szCs w:val="28"/>
          <w:rtl/>
        </w:rPr>
        <w:t xml:space="preserve"> בשלב בו טרם ניתנה החלטה</w:t>
      </w:r>
      <w:r w:rsidR="00F95A60">
        <w:rPr>
          <w:rFonts w:ascii="FrankRuehl" w:hAnsi="FrankRuehl" w:cs="FrankRuehl"/>
          <w:sz w:val="28"/>
          <w:szCs w:val="28"/>
          <w:rtl/>
        </w:rPr>
        <w:t xml:space="preserve"> בעניינם של בני המשפחה של ט'</w:t>
      </w:r>
      <w:r w:rsidR="00F95A60">
        <w:rPr>
          <w:rFonts w:ascii="FrankRuehl" w:hAnsi="FrankRuehl" w:cs="FrankRuehl" w:hint="cs"/>
          <w:sz w:val="28"/>
          <w:szCs w:val="28"/>
          <w:rtl/>
        </w:rPr>
        <w:t>, ו</w:t>
      </w:r>
      <w:r w:rsidR="00F95A60" w:rsidRPr="00F95A60">
        <w:rPr>
          <w:rFonts w:ascii="FrankRuehl" w:hAnsi="FrankRuehl" w:cs="FrankRuehl"/>
          <w:sz w:val="28"/>
          <w:szCs w:val="28"/>
          <w:rtl/>
        </w:rPr>
        <w:t>היא המתינה להחלטה זו בציפ</w:t>
      </w:r>
      <w:r w:rsidR="00F95A60">
        <w:rPr>
          <w:rFonts w:ascii="FrankRuehl" w:hAnsi="FrankRuehl" w:cs="FrankRuehl"/>
          <w:sz w:val="28"/>
          <w:szCs w:val="28"/>
          <w:rtl/>
        </w:rPr>
        <w:t xml:space="preserve">ייה דרוכה. הנאשם שירת אותה בעניין זה, ולו בבחינה של הדברים מקרוב ומתן תחושה כי הוא משקיף על הנעשה. הסכמתה של ט' לקיים עמו יחסי מין באותו מפגש חד פעמי היה קשור במילוי תפקידו ובעד פעולה הקשורה בתפקידו. </w:t>
      </w:r>
    </w:p>
    <w:p w:rsidR="00D508C1" w:rsidRDefault="00A40F30" w:rsidP="0036499E">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24.</w:t>
      </w:r>
      <w:r>
        <w:rPr>
          <w:rFonts w:ascii="FrankRuehl" w:eastAsia="Calibri" w:hAnsi="FrankRuehl" w:cs="FrankRuehl" w:hint="cs"/>
          <w:sz w:val="28"/>
          <w:szCs w:val="28"/>
          <w:rtl/>
        </w:rPr>
        <w:tab/>
      </w:r>
      <w:r w:rsidR="00D508C1">
        <w:rPr>
          <w:rFonts w:ascii="FrankRuehl" w:eastAsia="Calibri" w:hAnsi="FrankRuehl" w:cs="FrankRuehl"/>
          <w:sz w:val="28"/>
          <w:szCs w:val="28"/>
          <w:rtl/>
        </w:rPr>
        <w:t>במספר הזדמנויות נו</w:t>
      </w:r>
      <w:r w:rsidR="0036499E">
        <w:rPr>
          <w:rFonts w:ascii="FrankRuehl" w:eastAsia="Calibri" w:hAnsi="FrankRuehl" w:cs="FrankRuehl"/>
          <w:sz w:val="28"/>
          <w:szCs w:val="28"/>
          <w:rtl/>
        </w:rPr>
        <w:t>ספות, הוא חיבק אותה ונישק אותה</w:t>
      </w:r>
      <w:r w:rsidR="0036499E">
        <w:rPr>
          <w:rFonts w:ascii="FrankRuehl" w:eastAsia="Calibri" w:hAnsi="FrankRuehl" w:cs="FrankRuehl" w:hint="cs"/>
          <w:sz w:val="28"/>
          <w:szCs w:val="28"/>
          <w:rtl/>
        </w:rPr>
        <w:t xml:space="preserve">. </w:t>
      </w:r>
      <w:r w:rsidR="00D508C1">
        <w:rPr>
          <w:rFonts w:ascii="FrankRuehl" w:eastAsia="Calibri" w:hAnsi="FrankRuehl" w:cs="FrankRuehl"/>
          <w:sz w:val="28"/>
          <w:szCs w:val="28"/>
          <w:rtl/>
        </w:rPr>
        <w:t xml:space="preserve">הנאשם </w:t>
      </w:r>
      <w:r w:rsidR="00345D87">
        <w:rPr>
          <w:rFonts w:ascii="FrankRuehl" w:eastAsia="Calibri" w:hAnsi="FrankRuehl" w:cs="FrankRuehl" w:hint="cs"/>
          <w:sz w:val="28"/>
          <w:szCs w:val="28"/>
          <w:rtl/>
        </w:rPr>
        <w:t xml:space="preserve">גם </w:t>
      </w:r>
      <w:r w:rsidR="00D508C1">
        <w:rPr>
          <w:rFonts w:ascii="FrankRuehl" w:eastAsia="Calibri" w:hAnsi="FrankRuehl" w:cs="FrankRuehl"/>
          <w:sz w:val="28"/>
          <w:szCs w:val="28"/>
          <w:rtl/>
        </w:rPr>
        <w:t>התקשר אל ט' פעמים רבות, ובחלק מן השיחות הציע לה הצעות מיניות שונות, כאשר הוא סבור כי ט' עשויה להיענות לבקשותיו בשל תפקידו, מעמדו, ובעד הסיוע שהעניק לה בעבר או יעניק לה בעתיד. בין היתר הציע לה ללכת לצימר בירושלים</w:t>
      </w:r>
      <w:r w:rsidR="00345D87">
        <w:rPr>
          <w:rFonts w:ascii="FrankRuehl" w:eastAsia="Calibri" w:hAnsi="FrankRuehl" w:cs="FrankRuehl" w:hint="cs"/>
          <w:sz w:val="28"/>
          <w:szCs w:val="28"/>
          <w:rtl/>
        </w:rPr>
        <w:t xml:space="preserve">. בנוסף, </w:t>
      </w:r>
      <w:r w:rsidR="00D508C1">
        <w:rPr>
          <w:rFonts w:ascii="FrankRuehl" w:eastAsia="Calibri" w:hAnsi="FrankRuehl" w:cs="FrankRuehl"/>
          <w:sz w:val="28"/>
          <w:szCs w:val="28"/>
          <w:rtl/>
        </w:rPr>
        <w:t>בכל אותה תקופה בה טיפל הנאשם בענייניה של ט', הוא לא עדכן את הממונים עליו בניגוד העניינים ובטיב יחסיו עם ט'.</w:t>
      </w:r>
    </w:p>
    <w:p w:rsidR="0036499E" w:rsidRDefault="0036499E" w:rsidP="0036499E">
      <w:pPr>
        <w:spacing w:after="160" w:line="360" w:lineRule="auto"/>
        <w:jc w:val="both"/>
        <w:rPr>
          <w:rFonts w:ascii="FrankRuehl" w:eastAsia="Calibri" w:hAnsi="FrankRuehl" w:cs="FrankRuehl"/>
          <w:sz w:val="28"/>
          <w:szCs w:val="28"/>
          <w:rtl/>
        </w:rPr>
      </w:pPr>
    </w:p>
    <w:p w:rsidR="00B46B4F" w:rsidRDefault="00A40F30" w:rsidP="00B46B4F">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25.</w:t>
      </w:r>
      <w:r>
        <w:rPr>
          <w:rFonts w:ascii="FrankRuehl" w:eastAsia="Calibri" w:hAnsi="FrankRuehl" w:cs="FrankRuehl" w:hint="cs"/>
          <w:sz w:val="28"/>
          <w:szCs w:val="28"/>
          <w:rtl/>
        </w:rPr>
        <w:tab/>
      </w:r>
      <w:r w:rsidR="00345D87" w:rsidRPr="00D97BDC">
        <w:rPr>
          <w:rFonts w:ascii="FrankRuehl" w:eastAsia="Calibri" w:hAnsi="FrankRuehl" w:cs="FrankRuehl" w:hint="cs"/>
          <w:sz w:val="28"/>
          <w:szCs w:val="28"/>
          <w:rtl/>
        </w:rPr>
        <w:t xml:space="preserve">באישום נוסף, הוא </w:t>
      </w:r>
      <w:r w:rsidR="00345D87" w:rsidRPr="00A40F30">
        <w:rPr>
          <w:rFonts w:ascii="FrankRuehl" w:eastAsia="Calibri" w:hAnsi="FrankRuehl" w:cs="FrankRuehl" w:hint="cs"/>
          <w:b/>
          <w:bCs/>
          <w:sz w:val="28"/>
          <w:szCs w:val="28"/>
          <w:rtl/>
        </w:rPr>
        <w:t>האישום השמיני</w:t>
      </w:r>
      <w:r w:rsidR="00345D87" w:rsidRPr="00D97BDC">
        <w:rPr>
          <w:rFonts w:ascii="FrankRuehl" w:eastAsia="Calibri" w:hAnsi="FrankRuehl" w:cs="FrankRuehl" w:hint="cs"/>
          <w:sz w:val="28"/>
          <w:szCs w:val="28"/>
          <w:rtl/>
        </w:rPr>
        <w:t xml:space="preserve"> שבכתב האישום, </w:t>
      </w:r>
      <w:r w:rsidR="00D97BDC">
        <w:rPr>
          <w:rFonts w:ascii="FrankRuehl" w:eastAsia="Calibri" w:hAnsi="FrankRuehl" w:cs="FrankRuehl" w:hint="cs"/>
          <w:sz w:val="28"/>
          <w:szCs w:val="28"/>
          <w:rtl/>
        </w:rPr>
        <w:t xml:space="preserve">הורשע הנאשם בעבירה של </w:t>
      </w:r>
      <w:r w:rsidR="0036499E">
        <w:rPr>
          <w:rFonts w:ascii="FrankRuehl" w:hAnsi="FrankRuehl" w:cs="FrankRuehl" w:hint="cs"/>
          <w:sz w:val="28"/>
          <w:szCs w:val="28"/>
          <w:rtl/>
        </w:rPr>
        <w:t>פ</w:t>
      </w:r>
      <w:r w:rsidR="0036499E">
        <w:rPr>
          <w:rFonts w:ascii="FrankRuehl" w:hAnsi="FrankRuehl" w:cs="FrankRuehl"/>
          <w:sz w:val="28"/>
          <w:szCs w:val="28"/>
          <w:rtl/>
        </w:rPr>
        <w:t>גיעה בפרטיות</w:t>
      </w:r>
      <w:r w:rsidR="0036499E">
        <w:rPr>
          <w:rFonts w:ascii="FrankRuehl" w:eastAsia="Calibri" w:hAnsi="FrankRuehl" w:cs="FrankRuehl"/>
          <w:sz w:val="28"/>
          <w:szCs w:val="28"/>
          <w:rtl/>
        </w:rPr>
        <w:t xml:space="preserve"> לפי סעיפים 2(7), 2(9) ו- 16 לחוק הגנת הפרטיות</w:t>
      </w:r>
      <w:r w:rsidR="00B46B4F">
        <w:rPr>
          <w:rFonts w:ascii="FrankRuehl" w:eastAsia="Calibri" w:hAnsi="FrankRuehl" w:cs="FrankRuehl" w:hint="cs"/>
          <w:sz w:val="28"/>
          <w:szCs w:val="28"/>
          <w:rtl/>
        </w:rPr>
        <w:t xml:space="preserve">, </w:t>
      </w:r>
      <w:r w:rsidR="00B46B4F">
        <w:rPr>
          <w:rFonts w:ascii="FrankRuehl" w:hAnsi="FrankRuehl" w:cs="FrankRuehl"/>
          <w:sz w:val="28"/>
          <w:szCs w:val="28"/>
          <w:rtl/>
        </w:rPr>
        <w:t xml:space="preserve">בכך, שהוא </w:t>
      </w:r>
      <w:r w:rsidR="00B46B4F">
        <w:rPr>
          <w:rFonts w:ascii="FrankRuehl" w:eastAsia="Calibri" w:hAnsi="FrankRuehl" w:cs="FrankRuehl"/>
          <w:sz w:val="28"/>
          <w:szCs w:val="28"/>
          <w:rtl/>
        </w:rPr>
        <w:t xml:space="preserve">נכנס למאגרי המידע של </w:t>
      </w:r>
      <w:r w:rsidR="00B46B4F">
        <w:rPr>
          <w:rFonts w:ascii="FrankRuehl" w:eastAsia="Calibri" w:hAnsi="FrankRuehl" w:cs="FrankRuehl"/>
          <w:sz w:val="28"/>
          <w:szCs w:val="28"/>
          <w:rtl/>
        </w:rPr>
        <w:lastRenderedPageBreak/>
        <w:t xml:space="preserve">הרשות, על מנת לדלות פרטים אישיים של בת זוגו לשעבר של חברו </w:t>
      </w:r>
      <w:r>
        <w:rPr>
          <w:rFonts w:ascii="FrankRuehl" w:eastAsia="Calibri" w:hAnsi="FrankRuehl" w:cs="FrankRuehl" w:hint="cs"/>
          <w:sz w:val="28"/>
          <w:szCs w:val="28"/>
          <w:rtl/>
        </w:rPr>
        <w:t xml:space="preserve">מהרט </w:t>
      </w:r>
      <w:r w:rsidR="00B46B4F">
        <w:rPr>
          <w:rFonts w:ascii="FrankRuehl" w:eastAsia="Calibri" w:hAnsi="FrankRuehl" w:cs="FrankRuehl"/>
          <w:sz w:val="28"/>
          <w:szCs w:val="28"/>
          <w:rtl/>
        </w:rPr>
        <w:t>אבבה, לפי בקשתו. הנאשם שלח לאבבה את כתובתה של בת הזוג כפי שהופיעה במאגר המידע.</w:t>
      </w:r>
    </w:p>
    <w:p w:rsidR="00B46B4F" w:rsidRPr="000F2247" w:rsidRDefault="00B46B4F" w:rsidP="00B46B4F">
      <w:pPr>
        <w:rPr>
          <w:rFonts w:ascii="Arial" w:hAnsi="Arial"/>
          <w:b/>
          <w:bCs/>
          <w:sz w:val="26"/>
          <w:szCs w:val="26"/>
          <w:rtl/>
        </w:rPr>
      </w:pPr>
    </w:p>
    <w:p w:rsidR="00A40F30" w:rsidRDefault="00A40F30" w:rsidP="00A40F30">
      <w:pPr>
        <w:spacing w:line="360" w:lineRule="auto"/>
        <w:jc w:val="both"/>
        <w:rPr>
          <w:rFonts w:ascii="FrankRuehl" w:hAnsi="FrankRuehl" w:cs="FrankRuehl"/>
          <w:sz w:val="28"/>
          <w:szCs w:val="28"/>
          <w:rtl/>
        </w:rPr>
      </w:pPr>
      <w:r>
        <w:rPr>
          <w:rFonts w:ascii="FrankRuehl" w:hAnsi="FrankRuehl" w:cs="FrankRuehl" w:hint="cs"/>
          <w:sz w:val="28"/>
          <w:szCs w:val="28"/>
          <w:rtl/>
        </w:rPr>
        <w:t>26.</w:t>
      </w:r>
      <w:r>
        <w:rPr>
          <w:rFonts w:ascii="FrankRuehl" w:hAnsi="FrankRuehl" w:cs="FrankRuehl" w:hint="cs"/>
          <w:sz w:val="28"/>
          <w:szCs w:val="28"/>
          <w:rtl/>
        </w:rPr>
        <w:tab/>
        <w:t>חשוב לציין, כי במסגרת הכרעת הדין זוכה הנאשם מ</w:t>
      </w:r>
      <w:r>
        <w:rPr>
          <w:rFonts w:ascii="FrankRuehl" w:hAnsi="FrankRuehl" w:cs="FrankRuehl"/>
          <w:sz w:val="28"/>
          <w:szCs w:val="28"/>
          <w:rtl/>
        </w:rPr>
        <w:t>שש עבירות שוחד</w:t>
      </w:r>
      <w:r>
        <w:rPr>
          <w:rFonts w:ascii="FrankRuehl" w:hAnsi="FrankRuehl" w:cs="FrankRuehl" w:hint="cs"/>
          <w:sz w:val="28"/>
          <w:szCs w:val="28"/>
          <w:rtl/>
        </w:rPr>
        <w:t xml:space="preserve"> נוספות שיוחסו לו במסגרת ארבעה אישומים נוספים (הראשון, הרביעי והשישי)</w:t>
      </w:r>
      <w:r>
        <w:rPr>
          <w:rFonts w:ascii="FrankRuehl" w:hAnsi="FrankRuehl" w:cs="FrankRuehl"/>
          <w:sz w:val="28"/>
          <w:szCs w:val="28"/>
          <w:rtl/>
        </w:rPr>
        <w:t xml:space="preserve">, </w:t>
      </w:r>
      <w:r>
        <w:rPr>
          <w:rFonts w:ascii="FrankRuehl" w:hAnsi="FrankRuehl" w:cs="FrankRuehl" w:hint="cs"/>
          <w:sz w:val="28"/>
          <w:szCs w:val="28"/>
          <w:rtl/>
        </w:rPr>
        <w:t xml:space="preserve">והוא גם זוכה </w:t>
      </w:r>
      <w:r>
        <w:rPr>
          <w:rFonts w:ascii="FrankRuehl" w:hAnsi="FrankRuehl" w:cs="FrankRuehl"/>
          <w:sz w:val="28"/>
          <w:szCs w:val="28"/>
          <w:rtl/>
        </w:rPr>
        <w:t>מ</w:t>
      </w:r>
      <w:r>
        <w:rPr>
          <w:rFonts w:ascii="FrankRuehl" w:hAnsi="FrankRuehl" w:cs="FrankRuehl" w:hint="cs"/>
          <w:sz w:val="28"/>
          <w:szCs w:val="28"/>
          <w:rtl/>
        </w:rPr>
        <w:t xml:space="preserve">שבע </w:t>
      </w:r>
      <w:r>
        <w:rPr>
          <w:rFonts w:ascii="FrankRuehl" w:hAnsi="FrankRuehl" w:cs="FrankRuehl"/>
          <w:sz w:val="28"/>
          <w:szCs w:val="28"/>
          <w:rtl/>
        </w:rPr>
        <w:t>עבירות של מרמה והפרת אמונים ומעבירה של קבלת דבר במרמה</w:t>
      </w:r>
      <w:r>
        <w:rPr>
          <w:rFonts w:ascii="FrankRuehl" w:hAnsi="FrankRuehl" w:cs="FrankRuehl" w:hint="cs"/>
          <w:sz w:val="28"/>
          <w:szCs w:val="28"/>
          <w:rtl/>
        </w:rPr>
        <w:t xml:space="preserve"> שיוחסו לו במסגרת האישומים השונים</w:t>
      </w:r>
      <w:r>
        <w:rPr>
          <w:rFonts w:ascii="FrankRuehl" w:hAnsi="FrankRuehl" w:cs="FrankRuehl"/>
          <w:sz w:val="28"/>
          <w:szCs w:val="28"/>
          <w:rtl/>
        </w:rPr>
        <w:t>.</w:t>
      </w:r>
    </w:p>
    <w:p w:rsidR="002C602F" w:rsidRDefault="002C602F" w:rsidP="00A40F30">
      <w:pPr>
        <w:spacing w:line="360" w:lineRule="auto"/>
        <w:jc w:val="both"/>
        <w:rPr>
          <w:rFonts w:ascii="FrankRuehl" w:hAnsi="FrankRuehl" w:cs="FrankRuehl"/>
          <w:sz w:val="28"/>
          <w:szCs w:val="28"/>
          <w:rtl/>
        </w:rPr>
      </w:pPr>
    </w:p>
    <w:p w:rsidR="002C602F" w:rsidRDefault="002C602F" w:rsidP="00A40F30">
      <w:pPr>
        <w:spacing w:line="360" w:lineRule="auto"/>
        <w:jc w:val="both"/>
        <w:rPr>
          <w:rFonts w:ascii="FrankRuehl" w:hAnsi="FrankRuehl" w:cs="FrankRuehl"/>
          <w:b/>
          <w:bCs/>
          <w:sz w:val="28"/>
          <w:szCs w:val="28"/>
          <w:u w:val="single"/>
          <w:rtl/>
        </w:rPr>
      </w:pPr>
      <w:r w:rsidRPr="0070310A">
        <w:rPr>
          <w:rFonts w:ascii="FrankRuehl" w:hAnsi="FrankRuehl" w:cs="FrankRuehl" w:hint="cs"/>
          <w:b/>
          <w:bCs/>
          <w:sz w:val="28"/>
          <w:szCs w:val="28"/>
          <w:u w:val="single"/>
          <w:rtl/>
        </w:rPr>
        <w:t>הראיו</w:t>
      </w:r>
      <w:r w:rsidR="0070310A" w:rsidRPr="0070310A">
        <w:rPr>
          <w:rFonts w:ascii="FrankRuehl" w:hAnsi="FrankRuehl" w:cs="FrankRuehl" w:hint="cs"/>
          <w:b/>
          <w:bCs/>
          <w:sz w:val="28"/>
          <w:szCs w:val="28"/>
          <w:u w:val="single"/>
          <w:rtl/>
        </w:rPr>
        <w:t>ת לעונש</w:t>
      </w:r>
    </w:p>
    <w:p w:rsidR="000F3A7E" w:rsidRDefault="00B01051" w:rsidP="002C5D4B">
      <w:pPr>
        <w:spacing w:line="360" w:lineRule="auto"/>
        <w:jc w:val="both"/>
        <w:rPr>
          <w:rFonts w:ascii="FrankRuehl" w:hAnsi="FrankRuehl" w:cs="FrankRuehl"/>
          <w:sz w:val="28"/>
          <w:szCs w:val="28"/>
          <w:rtl/>
        </w:rPr>
      </w:pPr>
      <w:r>
        <w:rPr>
          <w:rFonts w:ascii="FrankRuehl" w:hAnsi="FrankRuehl" w:cs="FrankRuehl" w:hint="cs"/>
          <w:sz w:val="28"/>
          <w:szCs w:val="28"/>
          <w:rtl/>
        </w:rPr>
        <w:t>27.</w:t>
      </w:r>
      <w:r>
        <w:rPr>
          <w:rFonts w:ascii="FrankRuehl" w:hAnsi="FrankRuehl" w:cs="FrankRuehl" w:hint="cs"/>
          <w:sz w:val="28"/>
          <w:szCs w:val="28"/>
          <w:rtl/>
        </w:rPr>
        <w:tab/>
      </w:r>
      <w:r w:rsidR="000F3A7E" w:rsidRPr="000F3A7E">
        <w:rPr>
          <w:rFonts w:ascii="FrankRuehl" w:hAnsi="FrankRuehl" w:cs="FrankRuehl" w:hint="cs"/>
          <w:sz w:val="28"/>
          <w:szCs w:val="28"/>
          <w:rtl/>
        </w:rPr>
        <w:t xml:space="preserve">במסגרת הראיות לעונש העידו הוריו "המאמצים" של הנאשם. </w:t>
      </w:r>
      <w:r w:rsidR="000F3A7E">
        <w:rPr>
          <w:rFonts w:ascii="FrankRuehl" w:hAnsi="FrankRuehl" w:cs="FrankRuehl" w:hint="cs"/>
          <w:sz w:val="28"/>
          <w:szCs w:val="28"/>
          <w:rtl/>
        </w:rPr>
        <w:t>מר שילה הר שושנים ורעייתו גב'</w:t>
      </w:r>
      <w:r w:rsidR="002C5D4B">
        <w:rPr>
          <w:rFonts w:ascii="FrankRuehl" w:hAnsi="FrankRuehl" w:cs="FrankRuehl" w:hint="cs"/>
          <w:sz w:val="28"/>
          <w:szCs w:val="28"/>
          <w:rtl/>
        </w:rPr>
        <w:t xml:space="preserve"> נורית הר</w:t>
      </w:r>
      <w:r w:rsidR="000F3A7E">
        <w:rPr>
          <w:rFonts w:ascii="FrankRuehl" w:hAnsi="FrankRuehl" w:cs="FrankRuehl" w:hint="cs"/>
          <w:sz w:val="28"/>
          <w:szCs w:val="28"/>
          <w:rtl/>
        </w:rPr>
        <w:t xml:space="preserve"> שושנים, שניהם "אימצו" את הנאשם מאז היותו נער. </w:t>
      </w:r>
    </w:p>
    <w:p w:rsidR="000F3A7E" w:rsidRDefault="000F3A7E" w:rsidP="00A40F30">
      <w:pPr>
        <w:spacing w:line="360" w:lineRule="auto"/>
        <w:jc w:val="both"/>
        <w:rPr>
          <w:rFonts w:ascii="FrankRuehl" w:hAnsi="FrankRuehl" w:cs="FrankRuehl"/>
          <w:sz w:val="28"/>
          <w:szCs w:val="28"/>
          <w:rtl/>
        </w:rPr>
      </w:pPr>
    </w:p>
    <w:p w:rsidR="002C5D4B" w:rsidRPr="002A23E4" w:rsidRDefault="00B01051" w:rsidP="002A23E4">
      <w:pPr>
        <w:spacing w:line="360" w:lineRule="auto"/>
        <w:jc w:val="both"/>
        <w:rPr>
          <w:rFonts w:ascii="FrankRuehl" w:hAnsi="FrankRuehl" w:cs="FrankRuehl"/>
          <w:sz w:val="28"/>
          <w:szCs w:val="28"/>
          <w:rtl/>
        </w:rPr>
      </w:pPr>
      <w:r>
        <w:rPr>
          <w:rFonts w:ascii="FrankRuehl" w:hAnsi="FrankRuehl" w:cs="FrankRuehl" w:hint="cs"/>
          <w:sz w:val="28"/>
          <w:szCs w:val="28"/>
          <w:rtl/>
        </w:rPr>
        <w:t>28.</w:t>
      </w:r>
      <w:r>
        <w:rPr>
          <w:rFonts w:ascii="FrankRuehl" w:hAnsi="FrankRuehl" w:cs="FrankRuehl" w:hint="cs"/>
          <w:sz w:val="28"/>
          <w:szCs w:val="28"/>
          <w:rtl/>
        </w:rPr>
        <w:tab/>
      </w:r>
      <w:r w:rsidR="000F3A7E">
        <w:rPr>
          <w:rFonts w:ascii="FrankRuehl" w:hAnsi="FrankRuehl" w:cs="FrankRuehl" w:hint="cs"/>
          <w:sz w:val="28"/>
          <w:szCs w:val="28"/>
          <w:rtl/>
        </w:rPr>
        <w:t xml:space="preserve">מר </w:t>
      </w:r>
      <w:r w:rsidR="002A23E4">
        <w:rPr>
          <w:rFonts w:ascii="FrankRuehl" w:hAnsi="FrankRuehl" w:cs="FrankRuehl" w:hint="cs"/>
          <w:sz w:val="28"/>
          <w:szCs w:val="28"/>
          <w:rtl/>
        </w:rPr>
        <w:t>הר שושנים</w:t>
      </w:r>
      <w:r w:rsidR="000F3A7E">
        <w:rPr>
          <w:rFonts w:ascii="FrankRuehl" w:hAnsi="FrankRuehl" w:cs="FrankRuehl" w:hint="cs"/>
          <w:sz w:val="28"/>
          <w:szCs w:val="28"/>
          <w:rtl/>
        </w:rPr>
        <w:t xml:space="preserve"> סיפר כי הכיר את הנאשם </w:t>
      </w:r>
      <w:r w:rsidR="007B15EA" w:rsidRPr="002A23E4">
        <w:rPr>
          <w:rFonts w:ascii="FrankRuehl" w:hAnsi="FrankRuehl" w:cs="FrankRuehl" w:hint="cs"/>
          <w:sz w:val="28"/>
          <w:szCs w:val="28"/>
          <w:rtl/>
        </w:rPr>
        <w:t>לפני כ-40 שנה</w:t>
      </w:r>
      <w:r w:rsidR="000F3A7E" w:rsidRPr="002A23E4">
        <w:rPr>
          <w:rFonts w:ascii="FrankRuehl" w:hAnsi="FrankRuehl" w:cs="FrankRuehl" w:hint="cs"/>
          <w:sz w:val="28"/>
          <w:szCs w:val="28"/>
          <w:rtl/>
        </w:rPr>
        <w:t xml:space="preserve">, חודש לאחר הגעתו של הנאשם לישראל מאתיופיה. הנאשם הגיע כילד בודד </w:t>
      </w:r>
      <w:r w:rsidR="007B15EA" w:rsidRPr="002A23E4">
        <w:rPr>
          <w:rFonts w:ascii="FrankRuehl" w:hAnsi="FrankRuehl" w:cs="FrankRuehl" w:hint="cs"/>
          <w:sz w:val="28"/>
          <w:szCs w:val="28"/>
          <w:rtl/>
        </w:rPr>
        <w:t xml:space="preserve">ללא משפחה </w:t>
      </w:r>
      <w:r w:rsidR="000F3A7E" w:rsidRPr="002A23E4">
        <w:rPr>
          <w:rFonts w:ascii="FrankRuehl" w:hAnsi="FrankRuehl" w:cs="FrankRuehl" w:hint="cs"/>
          <w:sz w:val="28"/>
          <w:szCs w:val="28"/>
          <w:rtl/>
        </w:rPr>
        <w:t xml:space="preserve">ושוכן יחד עם </w:t>
      </w:r>
      <w:r w:rsidR="007B15EA" w:rsidRPr="002A23E4">
        <w:rPr>
          <w:rFonts w:ascii="FrankRuehl" w:hAnsi="FrankRuehl" w:cs="FrankRuehl" w:hint="cs"/>
          <w:sz w:val="28"/>
          <w:szCs w:val="28"/>
          <w:rtl/>
        </w:rPr>
        <w:t xml:space="preserve">50 ילדים </w:t>
      </w:r>
      <w:r w:rsidR="000F3A7E" w:rsidRPr="002A23E4">
        <w:rPr>
          <w:rFonts w:ascii="FrankRuehl" w:hAnsi="FrankRuehl" w:cs="FrankRuehl" w:hint="cs"/>
          <w:sz w:val="28"/>
          <w:szCs w:val="28"/>
          <w:rtl/>
        </w:rPr>
        <w:t xml:space="preserve">נוספים </w:t>
      </w:r>
      <w:r w:rsidR="007B15EA" w:rsidRPr="002A23E4">
        <w:rPr>
          <w:rFonts w:ascii="FrankRuehl" w:hAnsi="FrankRuehl" w:cs="FrankRuehl" w:hint="cs"/>
          <w:sz w:val="28"/>
          <w:szCs w:val="28"/>
          <w:rtl/>
        </w:rPr>
        <w:t xml:space="preserve">בפנימיית </w:t>
      </w:r>
      <w:r w:rsidR="000F3A7E" w:rsidRPr="002A23E4">
        <w:rPr>
          <w:rFonts w:ascii="FrankRuehl" w:hAnsi="FrankRuehl" w:cs="FrankRuehl" w:hint="cs"/>
          <w:sz w:val="28"/>
          <w:szCs w:val="28"/>
          <w:rtl/>
        </w:rPr>
        <w:t xml:space="preserve">"קרית </w:t>
      </w:r>
      <w:r w:rsidR="007B15EA" w:rsidRPr="002A23E4">
        <w:rPr>
          <w:rFonts w:ascii="FrankRuehl" w:hAnsi="FrankRuehl" w:cs="FrankRuehl" w:hint="cs"/>
          <w:sz w:val="28"/>
          <w:szCs w:val="28"/>
          <w:rtl/>
        </w:rPr>
        <w:t>נוער</w:t>
      </w:r>
      <w:r w:rsidR="000F3A7E" w:rsidRPr="002A23E4">
        <w:rPr>
          <w:rFonts w:ascii="FrankRuehl" w:hAnsi="FrankRuehl" w:cs="FrankRuehl" w:hint="cs"/>
          <w:sz w:val="28"/>
          <w:szCs w:val="28"/>
          <w:rtl/>
        </w:rPr>
        <w:t>"</w:t>
      </w:r>
      <w:r w:rsidR="007B15EA" w:rsidRPr="002A23E4">
        <w:rPr>
          <w:rFonts w:ascii="FrankRuehl" w:hAnsi="FrankRuehl" w:cs="FrankRuehl" w:hint="cs"/>
          <w:sz w:val="28"/>
          <w:szCs w:val="28"/>
          <w:rtl/>
        </w:rPr>
        <w:t xml:space="preserve"> בירושלים</w:t>
      </w:r>
      <w:r w:rsidR="000F3A7E" w:rsidRPr="002A23E4">
        <w:rPr>
          <w:rFonts w:ascii="FrankRuehl" w:hAnsi="FrankRuehl" w:cs="FrankRuehl" w:hint="cs"/>
          <w:sz w:val="28"/>
          <w:szCs w:val="28"/>
          <w:rtl/>
        </w:rPr>
        <w:t xml:space="preserve">. שם בנו יואב הכיר אותו והוא החליט שמשפחתו "תאמץ" את הנאשם. </w:t>
      </w:r>
      <w:r w:rsidR="002C5D4B" w:rsidRPr="002A23E4">
        <w:rPr>
          <w:rFonts w:ascii="FrankRuehl" w:hAnsi="FrankRuehl" w:cs="FrankRuehl" w:hint="cs"/>
          <w:sz w:val="28"/>
          <w:szCs w:val="28"/>
          <w:rtl/>
        </w:rPr>
        <w:t xml:space="preserve">וכך בכל שבת הוא היה מגיע להתארח אצלם עם בנם יואב. מאוחר יותר, בנו יואב נהרג בפעילות מבצעית בלבנון, והם ראו מעין צוואה בלתי כתובה של בנם לאמץ את ליאור. מאז ליאור ומשפחתו הם חלקם ממשפחתם שלהם. </w:t>
      </w:r>
    </w:p>
    <w:p w:rsidR="000F3A7E" w:rsidRPr="002A23E4" w:rsidRDefault="000F3A7E" w:rsidP="000F3A7E">
      <w:pPr>
        <w:spacing w:line="360" w:lineRule="auto"/>
        <w:jc w:val="both"/>
        <w:rPr>
          <w:rFonts w:ascii="FrankRuehl" w:hAnsi="FrankRuehl" w:cs="FrankRuehl"/>
          <w:sz w:val="28"/>
          <w:szCs w:val="28"/>
          <w:rtl/>
        </w:rPr>
      </w:pPr>
    </w:p>
    <w:p w:rsidR="002E76A0" w:rsidRPr="002A23E4" w:rsidRDefault="00B01051" w:rsidP="002C5D4B">
      <w:pPr>
        <w:spacing w:line="360" w:lineRule="auto"/>
        <w:jc w:val="both"/>
        <w:rPr>
          <w:rFonts w:ascii="FrankRuehl" w:hAnsi="FrankRuehl" w:cs="FrankRuehl"/>
          <w:sz w:val="28"/>
          <w:szCs w:val="28"/>
          <w:rtl/>
        </w:rPr>
      </w:pPr>
      <w:r>
        <w:rPr>
          <w:rFonts w:ascii="FrankRuehl" w:hAnsi="FrankRuehl" w:cs="FrankRuehl" w:hint="cs"/>
          <w:sz w:val="28"/>
          <w:szCs w:val="28"/>
          <w:rtl/>
        </w:rPr>
        <w:t>29.</w:t>
      </w:r>
      <w:r>
        <w:rPr>
          <w:rFonts w:ascii="FrankRuehl" w:hAnsi="FrankRuehl" w:cs="FrankRuehl" w:hint="cs"/>
          <w:sz w:val="28"/>
          <w:szCs w:val="28"/>
          <w:rtl/>
        </w:rPr>
        <w:tab/>
      </w:r>
      <w:r w:rsidR="002C5D4B" w:rsidRPr="002A23E4">
        <w:rPr>
          <w:rFonts w:ascii="FrankRuehl" w:hAnsi="FrankRuehl" w:cs="FrankRuehl" w:hint="cs"/>
          <w:sz w:val="28"/>
          <w:szCs w:val="28"/>
          <w:rtl/>
        </w:rPr>
        <w:t xml:space="preserve">מר הר שושנים ציין כי </w:t>
      </w:r>
      <w:r w:rsidR="000F3A7E" w:rsidRPr="002A23E4">
        <w:rPr>
          <w:rFonts w:ascii="FrankRuehl" w:hAnsi="FrankRuehl" w:cs="FrankRuehl" w:hint="cs"/>
          <w:sz w:val="28"/>
          <w:szCs w:val="28"/>
          <w:rtl/>
        </w:rPr>
        <w:t xml:space="preserve">על </w:t>
      </w:r>
      <w:r w:rsidR="002C5D4B" w:rsidRPr="002A23E4">
        <w:rPr>
          <w:rFonts w:ascii="FrankRuehl" w:hAnsi="FrankRuehl" w:cs="FrankRuehl" w:hint="cs"/>
          <w:sz w:val="28"/>
          <w:szCs w:val="28"/>
          <w:rtl/>
        </w:rPr>
        <w:t xml:space="preserve">נסיבות </w:t>
      </w:r>
      <w:r w:rsidR="000F3A7E" w:rsidRPr="002A23E4">
        <w:rPr>
          <w:rFonts w:ascii="FrankRuehl" w:hAnsi="FrankRuehl" w:cs="FrankRuehl" w:hint="cs"/>
          <w:sz w:val="28"/>
          <w:szCs w:val="28"/>
          <w:rtl/>
        </w:rPr>
        <w:t xml:space="preserve">עלייתו של הנאשם לישראל הוא שמע מאוחר יותר מפיו של הנאשם, אשר סיפר על המסע </w:t>
      </w:r>
      <w:r w:rsidR="007B15EA" w:rsidRPr="002A23E4">
        <w:rPr>
          <w:rFonts w:ascii="FrankRuehl" w:hAnsi="FrankRuehl" w:cs="FrankRuehl" w:hint="cs"/>
          <w:sz w:val="28"/>
          <w:szCs w:val="28"/>
          <w:rtl/>
        </w:rPr>
        <w:t>של מאות קילומטרים מכפר</w:t>
      </w:r>
      <w:r w:rsidR="000F3A7E" w:rsidRPr="002A23E4">
        <w:rPr>
          <w:rFonts w:ascii="FrankRuehl" w:hAnsi="FrankRuehl" w:cs="FrankRuehl" w:hint="cs"/>
          <w:sz w:val="28"/>
          <w:szCs w:val="28"/>
          <w:rtl/>
        </w:rPr>
        <w:t xml:space="preserve">ו, מסע במהלכו </w:t>
      </w:r>
      <w:r w:rsidR="007B15EA" w:rsidRPr="002A23E4">
        <w:rPr>
          <w:rFonts w:ascii="FrankRuehl" w:hAnsi="FrankRuehl" w:cs="FrankRuehl" w:hint="cs"/>
          <w:sz w:val="28"/>
          <w:szCs w:val="28"/>
          <w:rtl/>
        </w:rPr>
        <w:t>איבד את אביו</w:t>
      </w:r>
      <w:r w:rsidR="000F3A7E" w:rsidRPr="002A23E4">
        <w:rPr>
          <w:rFonts w:ascii="FrankRuehl" w:hAnsi="FrankRuehl" w:cs="FrankRuehl" w:hint="cs"/>
          <w:sz w:val="28"/>
          <w:szCs w:val="28"/>
          <w:rtl/>
        </w:rPr>
        <w:t>, ואת אחיו שנהרג על ידי שודדים, ש</w:t>
      </w:r>
      <w:r w:rsidR="007B15EA" w:rsidRPr="002A23E4">
        <w:rPr>
          <w:rFonts w:ascii="FrankRuehl" w:hAnsi="FrankRuehl" w:cs="FrankRuehl" w:hint="cs"/>
          <w:sz w:val="28"/>
          <w:szCs w:val="28"/>
          <w:rtl/>
        </w:rPr>
        <w:t>פצעו</w:t>
      </w:r>
      <w:r w:rsidR="000F3A7E" w:rsidRPr="002A23E4">
        <w:rPr>
          <w:rFonts w:ascii="FrankRuehl" w:hAnsi="FrankRuehl" w:cs="FrankRuehl" w:hint="cs"/>
          <w:sz w:val="28"/>
          <w:szCs w:val="28"/>
          <w:rtl/>
        </w:rPr>
        <w:t xml:space="preserve"> גם אותו.</w:t>
      </w:r>
      <w:r w:rsidR="002C5D4B" w:rsidRPr="002A23E4">
        <w:rPr>
          <w:rFonts w:ascii="FrankRuehl" w:hAnsi="FrankRuehl" w:cs="FrankRuehl" w:hint="cs"/>
          <w:sz w:val="28"/>
          <w:szCs w:val="28"/>
          <w:rtl/>
        </w:rPr>
        <w:t xml:space="preserve"> </w:t>
      </w:r>
      <w:r w:rsidR="002E76A0" w:rsidRPr="002A23E4">
        <w:rPr>
          <w:rFonts w:ascii="FrankRuehl" w:hAnsi="FrankRuehl" w:cs="FrankRuehl" w:hint="cs"/>
          <w:sz w:val="28"/>
          <w:szCs w:val="28"/>
          <w:rtl/>
        </w:rPr>
        <w:t xml:space="preserve">הוא </w:t>
      </w:r>
      <w:r w:rsidR="002C5D4B" w:rsidRPr="002A23E4">
        <w:rPr>
          <w:rFonts w:ascii="FrankRuehl" w:hAnsi="FrankRuehl" w:cs="FrankRuehl" w:hint="cs"/>
          <w:sz w:val="28"/>
          <w:szCs w:val="28"/>
          <w:rtl/>
        </w:rPr>
        <w:t xml:space="preserve">גם </w:t>
      </w:r>
      <w:r w:rsidR="002E76A0" w:rsidRPr="002A23E4">
        <w:rPr>
          <w:rFonts w:ascii="FrankRuehl" w:hAnsi="FrankRuehl" w:cs="FrankRuehl" w:hint="cs"/>
          <w:sz w:val="28"/>
          <w:szCs w:val="28"/>
          <w:rtl/>
        </w:rPr>
        <w:t>ס</w:t>
      </w:r>
      <w:r w:rsidR="002C5D4B" w:rsidRPr="002A23E4">
        <w:rPr>
          <w:rFonts w:ascii="FrankRuehl" w:hAnsi="FrankRuehl" w:cs="FrankRuehl" w:hint="cs"/>
          <w:sz w:val="28"/>
          <w:szCs w:val="28"/>
          <w:rtl/>
        </w:rPr>
        <w:t>יפר על שלושת ילדיו של ליאור, אותם</w:t>
      </w:r>
      <w:r w:rsidR="002E76A0" w:rsidRPr="002A23E4">
        <w:rPr>
          <w:rFonts w:ascii="FrankRuehl" w:hAnsi="FrankRuehl" w:cs="FrankRuehl" w:hint="cs"/>
          <w:sz w:val="28"/>
          <w:szCs w:val="28"/>
          <w:rtl/>
        </w:rPr>
        <w:t xml:space="preserve"> הוא רו</w:t>
      </w:r>
      <w:r w:rsidR="002C5D4B" w:rsidRPr="002A23E4">
        <w:rPr>
          <w:rFonts w:ascii="FrankRuehl" w:hAnsi="FrankRuehl" w:cs="FrankRuehl" w:hint="cs"/>
          <w:sz w:val="28"/>
          <w:szCs w:val="28"/>
          <w:rtl/>
        </w:rPr>
        <w:t>א</w:t>
      </w:r>
      <w:r w:rsidR="002E76A0" w:rsidRPr="002A23E4">
        <w:rPr>
          <w:rFonts w:ascii="FrankRuehl" w:hAnsi="FrankRuehl" w:cs="FrankRuehl" w:hint="cs"/>
          <w:sz w:val="28"/>
          <w:szCs w:val="28"/>
          <w:rtl/>
        </w:rPr>
        <w:t>ה כנכדיו, ש</w:t>
      </w:r>
      <w:r w:rsidR="002C5D4B" w:rsidRPr="002A23E4">
        <w:rPr>
          <w:rFonts w:ascii="FrankRuehl" w:hAnsi="FrankRuehl" w:cs="FrankRuehl" w:hint="cs"/>
          <w:sz w:val="28"/>
          <w:szCs w:val="28"/>
          <w:rtl/>
        </w:rPr>
        <w:t xml:space="preserve">חרף כל הקשיים של הנאשם, הוא הצליח לגדל אותם </w:t>
      </w:r>
      <w:r w:rsidR="002E76A0" w:rsidRPr="002A23E4">
        <w:rPr>
          <w:rFonts w:ascii="FrankRuehl" w:hAnsi="FrankRuehl" w:cs="FrankRuehl" w:hint="cs"/>
          <w:sz w:val="28"/>
          <w:szCs w:val="28"/>
          <w:rtl/>
        </w:rPr>
        <w:t xml:space="preserve">לתפארת, האחד שירת בנח"ל, השני, הקרוי על שם בנו היה חייל </w:t>
      </w:r>
      <w:r w:rsidR="007B15EA" w:rsidRPr="002A23E4">
        <w:rPr>
          <w:rFonts w:ascii="FrankRuehl" w:hAnsi="FrankRuehl" w:cs="FrankRuehl" w:hint="cs"/>
          <w:sz w:val="28"/>
          <w:szCs w:val="28"/>
          <w:rtl/>
        </w:rPr>
        <w:t>מצטיין בגדוד חרוב</w:t>
      </w:r>
      <w:r w:rsidR="002E76A0" w:rsidRPr="002A23E4">
        <w:rPr>
          <w:rFonts w:ascii="FrankRuehl" w:hAnsi="FrankRuehl" w:cs="FrankRuehl" w:hint="cs"/>
          <w:sz w:val="28"/>
          <w:szCs w:val="28"/>
          <w:rtl/>
        </w:rPr>
        <w:t>, והבת השלישית שירתה שירות לאומי.</w:t>
      </w:r>
    </w:p>
    <w:p w:rsidR="002E76A0" w:rsidRPr="002A23E4" w:rsidRDefault="002E76A0" w:rsidP="002E76A0">
      <w:pPr>
        <w:spacing w:line="360" w:lineRule="auto"/>
        <w:jc w:val="both"/>
        <w:rPr>
          <w:rFonts w:ascii="FrankRuehl" w:hAnsi="FrankRuehl" w:cs="FrankRuehl"/>
          <w:sz w:val="28"/>
          <w:szCs w:val="28"/>
          <w:rtl/>
        </w:rPr>
      </w:pPr>
    </w:p>
    <w:p w:rsidR="002C5D4B" w:rsidRPr="002A23E4" w:rsidRDefault="00B01051" w:rsidP="000828D4">
      <w:pPr>
        <w:spacing w:line="360" w:lineRule="auto"/>
        <w:jc w:val="both"/>
        <w:rPr>
          <w:rFonts w:ascii="FrankRuehl" w:hAnsi="FrankRuehl" w:cs="FrankRuehl"/>
          <w:sz w:val="28"/>
          <w:szCs w:val="28"/>
          <w:rtl/>
        </w:rPr>
      </w:pPr>
      <w:r>
        <w:rPr>
          <w:rFonts w:ascii="FrankRuehl" w:hAnsi="FrankRuehl" w:cs="FrankRuehl" w:hint="cs"/>
          <w:sz w:val="28"/>
          <w:szCs w:val="28"/>
          <w:rtl/>
        </w:rPr>
        <w:t>30.</w:t>
      </w:r>
      <w:r>
        <w:rPr>
          <w:rFonts w:ascii="FrankRuehl" w:hAnsi="FrankRuehl" w:cs="FrankRuehl" w:hint="cs"/>
          <w:sz w:val="28"/>
          <w:szCs w:val="28"/>
          <w:rtl/>
        </w:rPr>
        <w:tab/>
      </w:r>
      <w:r w:rsidR="002E76A0" w:rsidRPr="002A23E4">
        <w:rPr>
          <w:rFonts w:ascii="FrankRuehl" w:hAnsi="FrankRuehl" w:cs="FrankRuehl" w:hint="cs"/>
          <w:sz w:val="28"/>
          <w:szCs w:val="28"/>
          <w:rtl/>
        </w:rPr>
        <w:t>הוא סיפר על הנחיש</w:t>
      </w:r>
      <w:r w:rsidR="000828D4">
        <w:rPr>
          <w:rFonts w:ascii="FrankRuehl" w:hAnsi="FrankRuehl" w:cs="FrankRuehl" w:hint="cs"/>
          <w:sz w:val="28"/>
          <w:szCs w:val="28"/>
          <w:rtl/>
        </w:rPr>
        <w:t>ות בה הנאשם פעל במסגרת תפקידו ברשות</w:t>
      </w:r>
      <w:r w:rsidR="002E76A0" w:rsidRPr="002A23E4">
        <w:rPr>
          <w:rFonts w:ascii="FrankRuehl" w:hAnsi="FrankRuehl" w:cs="FrankRuehl" w:hint="cs"/>
          <w:sz w:val="28"/>
          <w:szCs w:val="28"/>
          <w:rtl/>
        </w:rPr>
        <w:t xml:space="preserve"> ההגירה והאוכלוסין, למנוע עלייה של מי שאינו זכאי לעלות ולסייע בידי מי שזכאי לעלות, ללא מורא ופחד, על אף האיומים </w:t>
      </w:r>
      <w:r w:rsidR="002C5D4B" w:rsidRPr="002A23E4">
        <w:rPr>
          <w:rFonts w:ascii="FrankRuehl" w:hAnsi="FrankRuehl" w:cs="FrankRuehl" w:hint="cs"/>
          <w:sz w:val="28"/>
          <w:szCs w:val="28"/>
          <w:rtl/>
        </w:rPr>
        <w:t xml:space="preserve">החמורים </w:t>
      </w:r>
      <w:r w:rsidR="002E76A0" w:rsidRPr="002A23E4">
        <w:rPr>
          <w:rFonts w:ascii="FrankRuehl" w:hAnsi="FrankRuehl" w:cs="FrankRuehl" w:hint="cs"/>
          <w:sz w:val="28"/>
          <w:szCs w:val="28"/>
          <w:rtl/>
        </w:rPr>
        <w:t>שקיבל</w:t>
      </w:r>
      <w:r w:rsidR="002C5D4B" w:rsidRPr="002A23E4">
        <w:rPr>
          <w:rFonts w:ascii="FrankRuehl" w:hAnsi="FrankRuehl" w:cs="FrankRuehl" w:hint="cs"/>
          <w:sz w:val="28"/>
          <w:szCs w:val="28"/>
          <w:rtl/>
        </w:rPr>
        <w:t>, שאף הגיעו לכדי פגיעה בגוף וברכוש</w:t>
      </w:r>
      <w:r w:rsidR="002E76A0" w:rsidRPr="002A23E4">
        <w:rPr>
          <w:rFonts w:ascii="FrankRuehl" w:hAnsi="FrankRuehl" w:cs="FrankRuehl" w:hint="cs"/>
          <w:sz w:val="28"/>
          <w:szCs w:val="28"/>
          <w:rtl/>
        </w:rPr>
        <w:t>. כששאל את הנאשם מדוע הוא נוטל משימה זו על עצמו, השיב לו הנאשם כי הוא נ</w:t>
      </w:r>
      <w:r w:rsidR="007B15EA" w:rsidRPr="002A23E4">
        <w:rPr>
          <w:rFonts w:ascii="FrankRuehl" w:hAnsi="FrankRuehl" w:cs="FrankRuehl" w:hint="cs"/>
          <w:sz w:val="28"/>
          <w:szCs w:val="28"/>
          <w:rtl/>
        </w:rPr>
        <w:t>אמן למדינת ישראל</w:t>
      </w:r>
      <w:r w:rsidR="002E76A0" w:rsidRPr="002A23E4">
        <w:rPr>
          <w:rFonts w:ascii="FrankRuehl" w:hAnsi="FrankRuehl" w:cs="FrankRuehl" w:hint="cs"/>
          <w:sz w:val="28"/>
          <w:szCs w:val="28"/>
          <w:rtl/>
        </w:rPr>
        <w:t xml:space="preserve"> ו</w:t>
      </w:r>
      <w:r w:rsidR="007B15EA" w:rsidRPr="002A23E4">
        <w:rPr>
          <w:rFonts w:ascii="FrankRuehl" w:hAnsi="FrankRuehl" w:cs="FrankRuehl" w:hint="cs"/>
          <w:sz w:val="28"/>
          <w:szCs w:val="28"/>
          <w:rtl/>
        </w:rPr>
        <w:t>לארץ ישראל</w:t>
      </w:r>
      <w:r w:rsidR="002E76A0" w:rsidRPr="002A23E4">
        <w:rPr>
          <w:rFonts w:ascii="FrankRuehl" w:hAnsi="FrankRuehl" w:cs="FrankRuehl" w:hint="cs"/>
          <w:sz w:val="28"/>
          <w:szCs w:val="28"/>
          <w:rtl/>
        </w:rPr>
        <w:t xml:space="preserve"> והוא מחויב </w:t>
      </w:r>
      <w:r w:rsidR="002E76A0" w:rsidRPr="002A23E4">
        <w:rPr>
          <w:rFonts w:ascii="FrankRuehl" w:hAnsi="FrankRuehl" w:cs="FrankRuehl" w:hint="cs"/>
          <w:sz w:val="28"/>
          <w:szCs w:val="28"/>
          <w:rtl/>
        </w:rPr>
        <w:lastRenderedPageBreak/>
        <w:t xml:space="preserve">למלא את </w:t>
      </w:r>
      <w:r w:rsidR="007B15EA" w:rsidRPr="002A23E4">
        <w:rPr>
          <w:rFonts w:ascii="FrankRuehl" w:hAnsi="FrankRuehl" w:cs="FrankRuehl" w:hint="cs"/>
          <w:sz w:val="28"/>
          <w:szCs w:val="28"/>
          <w:rtl/>
        </w:rPr>
        <w:t>השליחות שה</w:t>
      </w:r>
      <w:r w:rsidR="002C5D4B" w:rsidRPr="002A23E4">
        <w:rPr>
          <w:rFonts w:ascii="FrankRuehl" w:hAnsi="FrankRuehl" w:cs="FrankRuehl" w:hint="cs"/>
          <w:sz w:val="28"/>
          <w:szCs w:val="28"/>
          <w:rtl/>
        </w:rPr>
        <w:t xml:space="preserve">וטלה עליו. הנאשם גם פעל לסייע בידי העולים בכל שהיה בידו, אם זה בקליטתם, בבעיות כלכליות, קשיי שפה ועוד. </w:t>
      </w:r>
    </w:p>
    <w:p w:rsidR="002C5D4B" w:rsidRPr="002A23E4" w:rsidRDefault="002C5D4B" w:rsidP="002C5D4B">
      <w:pPr>
        <w:spacing w:line="360" w:lineRule="auto"/>
        <w:jc w:val="both"/>
        <w:rPr>
          <w:rFonts w:ascii="FrankRuehl" w:hAnsi="FrankRuehl" w:cs="FrankRuehl"/>
          <w:sz w:val="28"/>
          <w:szCs w:val="28"/>
          <w:rtl/>
        </w:rPr>
      </w:pPr>
    </w:p>
    <w:p w:rsidR="002C5D4B" w:rsidRPr="002A23E4" w:rsidRDefault="00B01051" w:rsidP="002C5D4B">
      <w:pPr>
        <w:spacing w:line="360" w:lineRule="auto"/>
        <w:jc w:val="both"/>
        <w:rPr>
          <w:rFonts w:ascii="FrankRuehl" w:hAnsi="FrankRuehl" w:cs="FrankRuehl"/>
          <w:sz w:val="28"/>
          <w:szCs w:val="28"/>
          <w:rtl/>
        </w:rPr>
      </w:pPr>
      <w:r>
        <w:rPr>
          <w:rFonts w:ascii="FrankRuehl" w:hAnsi="FrankRuehl" w:cs="FrankRuehl" w:hint="cs"/>
          <w:sz w:val="28"/>
          <w:szCs w:val="28"/>
          <w:rtl/>
        </w:rPr>
        <w:t>31.</w:t>
      </w:r>
      <w:r>
        <w:rPr>
          <w:rFonts w:ascii="FrankRuehl" w:hAnsi="FrankRuehl" w:cs="FrankRuehl" w:hint="cs"/>
          <w:sz w:val="28"/>
          <w:szCs w:val="28"/>
          <w:rtl/>
        </w:rPr>
        <w:tab/>
      </w:r>
      <w:r w:rsidR="002C5D4B" w:rsidRPr="002A23E4">
        <w:rPr>
          <w:rFonts w:ascii="FrankRuehl" w:hAnsi="FrankRuehl" w:cs="FrankRuehl" w:hint="cs"/>
          <w:sz w:val="28"/>
          <w:szCs w:val="28"/>
          <w:rtl/>
        </w:rPr>
        <w:t xml:space="preserve">דברים דומים נשמעו גם מפיה של גב' הר שושנים. היא ציינה את הקשיים עמם התמודד הנאשם, הקושי של השפה והבושה, לצד הרצון להתפתח ולהתקדם. </w:t>
      </w:r>
      <w:r w:rsidR="002A23E4" w:rsidRPr="002A23E4">
        <w:rPr>
          <w:rFonts w:ascii="FrankRuehl" w:hAnsi="FrankRuehl" w:cs="FrankRuehl" w:hint="cs"/>
          <w:sz w:val="28"/>
          <w:szCs w:val="28"/>
          <w:rtl/>
        </w:rPr>
        <w:t xml:space="preserve">היא סיפרה על איומים שהיא עצמה קיבלה כשזיהו אותה כאמו של הנאשם. </w:t>
      </w:r>
    </w:p>
    <w:p w:rsidR="002C5D4B" w:rsidRDefault="002C5D4B" w:rsidP="007B15EA">
      <w:pPr>
        <w:spacing w:line="360" w:lineRule="auto"/>
        <w:jc w:val="both"/>
        <w:rPr>
          <w:rFonts w:ascii="FrankRuehl" w:hAnsi="FrankRuehl" w:cs="FrankRuehl"/>
          <w:sz w:val="28"/>
          <w:szCs w:val="28"/>
          <w:rtl/>
        </w:rPr>
      </w:pPr>
    </w:p>
    <w:p w:rsidR="00D55D01" w:rsidRDefault="00B01051" w:rsidP="00BE2765">
      <w:pPr>
        <w:spacing w:line="360" w:lineRule="auto"/>
        <w:jc w:val="both"/>
        <w:rPr>
          <w:rFonts w:ascii="FrankRuehl" w:hAnsi="FrankRuehl" w:cs="FrankRuehl"/>
          <w:sz w:val="28"/>
          <w:szCs w:val="28"/>
          <w:rtl/>
        </w:rPr>
      </w:pPr>
      <w:r>
        <w:rPr>
          <w:rFonts w:ascii="FrankRuehl" w:hAnsi="FrankRuehl" w:cs="FrankRuehl" w:hint="cs"/>
          <w:sz w:val="28"/>
          <w:szCs w:val="28"/>
          <w:rtl/>
        </w:rPr>
        <w:t>32.</w:t>
      </w:r>
      <w:r>
        <w:rPr>
          <w:rFonts w:ascii="FrankRuehl" w:hAnsi="FrankRuehl" w:cs="FrankRuehl" w:hint="cs"/>
          <w:sz w:val="28"/>
          <w:szCs w:val="28"/>
          <w:rtl/>
        </w:rPr>
        <w:tab/>
      </w:r>
      <w:r w:rsidR="00B27463">
        <w:rPr>
          <w:rFonts w:ascii="FrankRuehl" w:hAnsi="FrankRuehl" w:cs="FrankRuehl" w:hint="cs"/>
          <w:sz w:val="28"/>
          <w:szCs w:val="28"/>
          <w:rtl/>
        </w:rPr>
        <w:t>בנו</w:t>
      </w:r>
      <w:r w:rsidR="00BE2765">
        <w:rPr>
          <w:rFonts w:ascii="FrankRuehl" w:hAnsi="FrankRuehl" w:cs="FrankRuehl" w:hint="cs"/>
          <w:sz w:val="28"/>
          <w:szCs w:val="28"/>
          <w:rtl/>
        </w:rPr>
        <w:t>סף הוצגו שלושה</w:t>
      </w:r>
      <w:r w:rsidR="00B27463">
        <w:rPr>
          <w:rFonts w:ascii="FrankRuehl" w:hAnsi="FrankRuehl" w:cs="FrankRuehl" w:hint="cs"/>
          <w:sz w:val="28"/>
          <w:szCs w:val="28"/>
          <w:rtl/>
        </w:rPr>
        <w:t xml:space="preserve"> מסמכים. האחד, אישור מטעם המוסד לביטוח לאומי בדבר הכרה בנכות רפואית משוקללת בשיעור 60%. השני, מכתב של עו"ד נתן מלסה שסיפר על הנאשם אותו הכיר בשירותם הצבאי המשותף במסגרת ישיבת ההסדר. הוא סיפר על התנדבותו של הנאשם יחד עמו, ולפעמים אף בלעדיו, בתנועות שונות שפעלו לקליטת יהודי אתיופיה, על פעולותיו להפסקת פעילות מסיונרית בקרב יוצאי אתיופיה וכנגד מ</w:t>
      </w:r>
      <w:r w:rsidR="00BE2765">
        <w:rPr>
          <w:rFonts w:ascii="FrankRuehl" w:hAnsi="FrankRuehl" w:cs="FrankRuehl" w:hint="cs"/>
          <w:sz w:val="28"/>
          <w:szCs w:val="28"/>
          <w:rtl/>
        </w:rPr>
        <w:t xml:space="preserve">תחזים שניצלו את המצב להיכנס לישראל שלא כדין. השלישי, מכתבו של הרב אלון נגוסה אשר סיפר על היכרותו רבת השנים עם הנאשם, במסגרת עבודתו באגף עגונות ובירור יהדות בהנהלת בתי הדין הרבניים. הוא סיפר על אירוע בו סייע בידו הנאשם להיכנס לאחד מבתי הכלא באתיופיה על מנת לקבל גט מאדם שנאסר שם גט עבור אשתו שהייתה בישראל. כן סיפר על הסתייעותו הרבה בנאשם לקבלת מידע הנוגע לבירור יהדות של עולים שונים.  </w:t>
      </w:r>
    </w:p>
    <w:p w:rsidR="00D55D01" w:rsidRDefault="00D55D01" w:rsidP="007B15EA">
      <w:pPr>
        <w:spacing w:line="360" w:lineRule="auto"/>
        <w:jc w:val="both"/>
        <w:rPr>
          <w:rFonts w:ascii="FrankRuehl" w:hAnsi="FrankRuehl" w:cs="FrankRuehl"/>
          <w:sz w:val="28"/>
          <w:szCs w:val="28"/>
          <w:rtl/>
        </w:rPr>
      </w:pPr>
    </w:p>
    <w:p w:rsidR="00590E59" w:rsidRPr="00590E59" w:rsidRDefault="00B01051" w:rsidP="00D81AF1">
      <w:pPr>
        <w:spacing w:line="360" w:lineRule="auto"/>
        <w:jc w:val="both"/>
        <w:rPr>
          <w:rFonts w:ascii="David" w:hAnsi="David"/>
          <w:color w:val="222222"/>
        </w:rPr>
      </w:pPr>
      <w:r>
        <w:rPr>
          <w:rFonts w:ascii="FrankRuehl" w:hAnsi="FrankRuehl" w:cs="FrankRuehl" w:hint="cs"/>
          <w:sz w:val="28"/>
          <w:szCs w:val="28"/>
          <w:rtl/>
        </w:rPr>
        <w:t>33.</w:t>
      </w:r>
      <w:r>
        <w:rPr>
          <w:rFonts w:ascii="FrankRuehl" w:hAnsi="FrankRuehl" w:cs="FrankRuehl" w:hint="cs"/>
          <w:sz w:val="28"/>
          <w:szCs w:val="28"/>
          <w:rtl/>
        </w:rPr>
        <w:tab/>
      </w:r>
      <w:r w:rsidR="002A23E4">
        <w:rPr>
          <w:rFonts w:ascii="FrankRuehl" w:hAnsi="FrankRuehl" w:cs="FrankRuehl" w:hint="cs"/>
          <w:sz w:val="28"/>
          <w:szCs w:val="28"/>
          <w:rtl/>
        </w:rPr>
        <w:t xml:space="preserve">הנאשם גם הגיש חוות דעת של </w:t>
      </w:r>
      <w:r w:rsidR="00590E59">
        <w:rPr>
          <w:rFonts w:ascii="FrankRuehl" w:hAnsi="FrankRuehl" w:cs="FrankRuehl" w:hint="cs"/>
          <w:sz w:val="28"/>
          <w:szCs w:val="28"/>
          <w:rtl/>
        </w:rPr>
        <w:t xml:space="preserve">עו"ס </w:t>
      </w:r>
      <w:r w:rsidR="002A23E4">
        <w:rPr>
          <w:rFonts w:ascii="FrankRuehl" w:hAnsi="FrankRuehl" w:cs="FrankRuehl" w:hint="cs"/>
          <w:sz w:val="28"/>
          <w:szCs w:val="28"/>
          <w:rtl/>
        </w:rPr>
        <w:t>ד"ר גילי תמיר</w:t>
      </w:r>
      <w:r w:rsidR="00590E59">
        <w:rPr>
          <w:rFonts w:ascii="FrankRuehl" w:hAnsi="FrankRuehl" w:cs="FrankRuehl" w:hint="cs"/>
          <w:sz w:val="28"/>
          <w:szCs w:val="28"/>
          <w:rtl/>
        </w:rPr>
        <w:t xml:space="preserve">, מנהלת מקצועית "מרכז מחוברים" לטיפול בעצורים, אסירים ונוער בסיכון. </w:t>
      </w:r>
      <w:r w:rsidR="00590E59" w:rsidRPr="00590E59">
        <w:rPr>
          <w:rFonts w:ascii="FrankRuehl" w:hAnsi="FrankRuehl" w:cs="FrankRuehl"/>
          <w:color w:val="222222"/>
          <w:sz w:val="28"/>
          <w:szCs w:val="28"/>
          <w:rtl/>
        </w:rPr>
        <w:t>במסגרת חוות דעתה</w:t>
      </w:r>
      <w:r w:rsidR="00590E59">
        <w:rPr>
          <w:rFonts w:ascii="FrankRuehl" w:hAnsi="FrankRuehl" w:cs="FrankRuehl" w:hint="cs"/>
          <w:color w:val="222222"/>
          <w:sz w:val="28"/>
          <w:szCs w:val="28"/>
          <w:rtl/>
        </w:rPr>
        <w:t>,</w:t>
      </w:r>
      <w:r w:rsidR="00590E59" w:rsidRPr="00590E59">
        <w:rPr>
          <w:rFonts w:ascii="FrankRuehl" w:hAnsi="FrankRuehl" w:cs="FrankRuehl"/>
          <w:color w:val="222222"/>
          <w:sz w:val="28"/>
          <w:szCs w:val="28"/>
          <w:rtl/>
        </w:rPr>
        <w:t xml:space="preserve"> פרטה ד"ר תמיר את תולדות חייו ומשפחתו של הנאשם, בכלל </w:t>
      </w:r>
      <w:r w:rsidR="00590E59">
        <w:rPr>
          <w:rFonts w:ascii="FrankRuehl" w:hAnsi="FrankRuehl" w:cs="FrankRuehl" w:hint="cs"/>
          <w:color w:val="222222"/>
          <w:sz w:val="28"/>
          <w:szCs w:val="28"/>
          <w:rtl/>
        </w:rPr>
        <w:t xml:space="preserve">זה </w:t>
      </w:r>
      <w:r w:rsidR="00590E59" w:rsidRPr="00590E59">
        <w:rPr>
          <w:rFonts w:ascii="FrankRuehl" w:hAnsi="FrankRuehl" w:cs="FrankRuehl"/>
          <w:color w:val="222222"/>
          <w:sz w:val="28"/>
          <w:szCs w:val="28"/>
          <w:rtl/>
        </w:rPr>
        <w:t>חייו באתיופיה, פציעתו ביד, מסעו עם חלק מבני משפחתו לישראל והגעתו לישראל בסוף המסע</w:t>
      </w:r>
      <w:r w:rsidR="00590E59">
        <w:rPr>
          <w:rFonts w:ascii="FrankRuehl" w:hAnsi="FrankRuehl" w:cs="FrankRuehl" w:hint="cs"/>
          <w:color w:val="222222"/>
          <w:sz w:val="28"/>
          <w:szCs w:val="28"/>
          <w:rtl/>
        </w:rPr>
        <w:t>,</w:t>
      </w:r>
      <w:r w:rsidR="00590E59" w:rsidRPr="00590E59">
        <w:rPr>
          <w:rFonts w:ascii="FrankRuehl" w:hAnsi="FrankRuehl" w:cs="FrankRuehl"/>
          <w:color w:val="222222"/>
          <w:sz w:val="28"/>
          <w:szCs w:val="28"/>
          <w:rtl/>
        </w:rPr>
        <w:t xml:space="preserve"> לבדו. כן פורט</w:t>
      </w:r>
      <w:r w:rsidR="00590E59">
        <w:rPr>
          <w:rFonts w:ascii="FrankRuehl" w:hAnsi="FrankRuehl" w:cs="FrankRuehl" w:hint="cs"/>
          <w:color w:val="222222"/>
          <w:sz w:val="28"/>
          <w:szCs w:val="28"/>
          <w:rtl/>
        </w:rPr>
        <w:t>,</w:t>
      </w:r>
      <w:r w:rsidR="00590E59" w:rsidRPr="00590E59">
        <w:rPr>
          <w:rFonts w:ascii="FrankRuehl" w:hAnsi="FrankRuehl" w:cs="FrankRuehl"/>
          <w:color w:val="222222"/>
          <w:sz w:val="28"/>
          <w:szCs w:val="28"/>
          <w:rtl/>
        </w:rPr>
        <w:t xml:space="preserve"> הרקע התעסוקתי של</w:t>
      </w:r>
      <w:r w:rsidR="00590E59">
        <w:rPr>
          <w:rFonts w:ascii="FrankRuehl" w:hAnsi="FrankRuehl" w:cs="FrankRuehl" w:hint="cs"/>
          <w:color w:val="222222"/>
          <w:sz w:val="28"/>
          <w:szCs w:val="28"/>
          <w:rtl/>
        </w:rPr>
        <w:t xml:space="preserve"> הנאשם</w:t>
      </w:r>
      <w:r w:rsidR="00590E59" w:rsidRPr="00590E59">
        <w:rPr>
          <w:rFonts w:ascii="FrankRuehl" w:hAnsi="FrankRuehl" w:cs="FrankRuehl"/>
          <w:color w:val="222222"/>
          <w:sz w:val="28"/>
          <w:szCs w:val="28"/>
          <w:rtl/>
        </w:rPr>
        <w:t>, בכלל זה ברשות האוכלוסין, והאיומים שספג על רקע זה.</w:t>
      </w:r>
    </w:p>
    <w:p w:rsidR="00590E59" w:rsidRPr="00590E59" w:rsidRDefault="00590E59" w:rsidP="00D81AF1">
      <w:pPr>
        <w:shd w:val="clear" w:color="auto" w:fill="FFFFFF"/>
        <w:spacing w:line="360" w:lineRule="auto"/>
        <w:jc w:val="both"/>
        <w:rPr>
          <w:rFonts w:ascii="David" w:hAnsi="David"/>
          <w:color w:val="222222"/>
          <w:rtl/>
        </w:rPr>
      </w:pPr>
      <w:r w:rsidRPr="00590E59">
        <w:rPr>
          <w:rFonts w:ascii="FrankRuehl" w:hAnsi="FrankRuehl" w:cs="FrankRuehl"/>
          <w:color w:val="222222"/>
          <w:sz w:val="28"/>
          <w:szCs w:val="28"/>
          <w:rtl/>
        </w:rPr>
        <w:t> </w:t>
      </w:r>
    </w:p>
    <w:p w:rsidR="006C6B27" w:rsidRDefault="00D81AF1" w:rsidP="006C6B27">
      <w:pPr>
        <w:shd w:val="clear" w:color="auto" w:fill="FFFFFF"/>
        <w:spacing w:line="360" w:lineRule="auto"/>
        <w:jc w:val="both"/>
        <w:rPr>
          <w:rFonts w:ascii="FrankRuehl" w:hAnsi="FrankRuehl" w:cs="FrankRuehl"/>
          <w:color w:val="222222"/>
          <w:sz w:val="28"/>
          <w:szCs w:val="28"/>
          <w:rtl/>
        </w:rPr>
      </w:pPr>
      <w:r>
        <w:rPr>
          <w:rFonts w:ascii="FrankRuehl" w:hAnsi="FrankRuehl" w:cs="FrankRuehl" w:hint="cs"/>
          <w:color w:val="222222"/>
          <w:sz w:val="28"/>
          <w:szCs w:val="28"/>
          <w:rtl/>
        </w:rPr>
        <w:t>34.</w:t>
      </w:r>
      <w:r>
        <w:rPr>
          <w:rFonts w:ascii="FrankRuehl" w:hAnsi="FrankRuehl" w:cs="FrankRuehl" w:hint="cs"/>
          <w:color w:val="222222"/>
          <w:sz w:val="28"/>
          <w:szCs w:val="28"/>
          <w:rtl/>
        </w:rPr>
        <w:tab/>
      </w:r>
      <w:r w:rsidR="00590E59" w:rsidRPr="00590E59">
        <w:rPr>
          <w:rFonts w:ascii="FrankRuehl" w:hAnsi="FrankRuehl" w:cs="FrankRuehl"/>
          <w:color w:val="222222"/>
          <w:sz w:val="28"/>
          <w:szCs w:val="28"/>
          <w:rtl/>
        </w:rPr>
        <w:t>בנוסף פרטה ד"ר תמיר את התייחסותו של הנאשם לעבירות בהן הורשע. היא ציינה</w:t>
      </w:r>
      <w:r>
        <w:rPr>
          <w:rFonts w:ascii="FrankRuehl" w:hAnsi="FrankRuehl" w:cs="FrankRuehl" w:hint="cs"/>
          <w:color w:val="222222"/>
          <w:sz w:val="28"/>
          <w:szCs w:val="28"/>
          <w:rtl/>
        </w:rPr>
        <w:t>,</w:t>
      </w:r>
      <w:r w:rsidR="00590E59" w:rsidRPr="00590E59">
        <w:rPr>
          <w:rFonts w:ascii="FrankRuehl" w:hAnsi="FrankRuehl" w:cs="FrankRuehl"/>
          <w:color w:val="222222"/>
          <w:sz w:val="28"/>
          <w:szCs w:val="28"/>
          <w:rtl/>
        </w:rPr>
        <w:t xml:space="preserve"> כי הנאשם תיאר את תפיסתו את המעשים כהדדיים וכ</w:t>
      </w:r>
      <w:r>
        <w:rPr>
          <w:rFonts w:ascii="FrankRuehl" w:hAnsi="FrankRuehl" w:cs="FrankRuehl" w:hint="cs"/>
          <w:color w:val="222222"/>
          <w:sz w:val="28"/>
          <w:szCs w:val="28"/>
          <w:rtl/>
        </w:rPr>
        <w:t xml:space="preserve">כאלו שלא היו </w:t>
      </w:r>
      <w:r w:rsidR="00590E59" w:rsidRPr="00590E59">
        <w:rPr>
          <w:rFonts w:ascii="FrankRuehl" w:hAnsi="FrankRuehl" w:cs="FrankRuehl"/>
          <w:color w:val="222222"/>
          <w:sz w:val="28"/>
          <w:szCs w:val="28"/>
          <w:rtl/>
        </w:rPr>
        <w:t>מונעים מתוך רצון להיטיב עם עצמו</w:t>
      </w:r>
      <w:r>
        <w:rPr>
          <w:rFonts w:ascii="FrankRuehl" w:hAnsi="FrankRuehl" w:cs="FrankRuehl" w:hint="cs"/>
          <w:color w:val="222222"/>
          <w:sz w:val="28"/>
          <w:szCs w:val="28"/>
          <w:rtl/>
        </w:rPr>
        <w:t>. לדבריו מדובר היה ב</w:t>
      </w:r>
      <w:r w:rsidR="00590E59" w:rsidRPr="00590E59">
        <w:rPr>
          <w:rFonts w:ascii="FrankRuehl" w:hAnsi="FrankRuehl" w:cs="FrankRuehl"/>
          <w:color w:val="222222"/>
          <w:sz w:val="28"/>
          <w:szCs w:val="28"/>
          <w:rtl/>
        </w:rPr>
        <w:t xml:space="preserve">"הזדהות יתר", </w:t>
      </w:r>
      <w:r>
        <w:rPr>
          <w:rFonts w:ascii="FrankRuehl" w:hAnsi="FrankRuehl" w:cs="FrankRuehl" w:hint="cs"/>
          <w:color w:val="222222"/>
          <w:sz w:val="28"/>
          <w:szCs w:val="28"/>
          <w:rtl/>
        </w:rPr>
        <w:t>ב</w:t>
      </w:r>
      <w:r w:rsidR="00590E59" w:rsidRPr="00590E59">
        <w:rPr>
          <w:rFonts w:ascii="FrankRuehl" w:hAnsi="FrankRuehl" w:cs="FrankRuehl"/>
          <w:color w:val="222222"/>
          <w:sz w:val="28"/>
          <w:szCs w:val="28"/>
          <w:rtl/>
        </w:rPr>
        <w:t>היסחפות ו</w:t>
      </w:r>
      <w:r>
        <w:rPr>
          <w:rFonts w:ascii="FrankRuehl" w:hAnsi="FrankRuehl" w:cs="FrankRuehl" w:hint="cs"/>
          <w:color w:val="222222"/>
          <w:sz w:val="28"/>
          <w:szCs w:val="28"/>
          <w:rtl/>
        </w:rPr>
        <w:t>ב</w:t>
      </w:r>
      <w:r w:rsidR="00590E59" w:rsidRPr="00590E59">
        <w:rPr>
          <w:rFonts w:ascii="FrankRuehl" w:hAnsi="FrankRuehl" w:cs="FrankRuehl"/>
          <w:color w:val="222222"/>
          <w:sz w:val="28"/>
          <w:szCs w:val="28"/>
          <w:rtl/>
        </w:rPr>
        <w:t>טשטוש גבולות. הוא גם תאר את הקשר בין הגשת כתב האישום והרדיפה כלפיו בשל שחיתויות שחשף לאורך השנים. </w:t>
      </w:r>
      <w:r>
        <w:rPr>
          <w:rFonts w:ascii="FrankRuehl" w:hAnsi="FrankRuehl" w:cs="FrankRuehl" w:hint="cs"/>
          <w:color w:val="222222"/>
          <w:sz w:val="28"/>
          <w:szCs w:val="28"/>
          <w:rtl/>
        </w:rPr>
        <w:t xml:space="preserve">ד"ר תמיר </w:t>
      </w:r>
      <w:r w:rsidR="00590E59" w:rsidRPr="00590E59">
        <w:rPr>
          <w:rFonts w:ascii="FrankRuehl" w:hAnsi="FrankRuehl" w:cs="FrankRuehl"/>
          <w:color w:val="222222"/>
          <w:sz w:val="28"/>
          <w:szCs w:val="28"/>
          <w:rtl/>
        </w:rPr>
        <w:t xml:space="preserve">ציינה את תובנותיה </w:t>
      </w:r>
      <w:r>
        <w:rPr>
          <w:rFonts w:ascii="FrankRuehl" w:hAnsi="FrankRuehl" w:cs="FrankRuehl" w:hint="cs"/>
          <w:color w:val="222222"/>
          <w:sz w:val="28"/>
          <w:szCs w:val="28"/>
          <w:rtl/>
        </w:rPr>
        <w:t xml:space="preserve">כי </w:t>
      </w:r>
      <w:r w:rsidR="00590E59" w:rsidRPr="00590E59">
        <w:rPr>
          <w:rFonts w:ascii="FrankRuehl" w:hAnsi="FrankRuehl" w:cs="FrankRuehl"/>
          <w:color w:val="222222"/>
          <w:sz w:val="28"/>
          <w:szCs w:val="28"/>
          <w:rtl/>
        </w:rPr>
        <w:t>רכיבי האישיות</w:t>
      </w:r>
      <w:r>
        <w:rPr>
          <w:rFonts w:ascii="FrankRuehl" w:hAnsi="FrankRuehl" w:cs="FrankRuehl" w:hint="cs"/>
          <w:color w:val="222222"/>
          <w:sz w:val="28"/>
          <w:szCs w:val="28"/>
          <w:rtl/>
        </w:rPr>
        <w:t xml:space="preserve"> של הנאשם</w:t>
      </w:r>
      <w:r w:rsidR="00590E59" w:rsidRPr="00590E59">
        <w:rPr>
          <w:rFonts w:ascii="FrankRuehl" w:hAnsi="FrankRuehl" w:cs="FrankRuehl"/>
          <w:color w:val="222222"/>
          <w:sz w:val="28"/>
          <w:szCs w:val="28"/>
          <w:rtl/>
        </w:rPr>
        <w:t xml:space="preserve"> וטשטוש הגבולות</w:t>
      </w:r>
      <w:r>
        <w:rPr>
          <w:rFonts w:ascii="FrankRuehl" w:hAnsi="FrankRuehl" w:cs="FrankRuehl" w:hint="cs"/>
          <w:color w:val="222222"/>
          <w:sz w:val="28"/>
          <w:szCs w:val="28"/>
          <w:rtl/>
        </w:rPr>
        <w:t xml:space="preserve"> הם אלו שעמדו </w:t>
      </w:r>
      <w:r w:rsidRPr="00590E59">
        <w:rPr>
          <w:rFonts w:ascii="FrankRuehl" w:hAnsi="FrankRuehl" w:cs="FrankRuehl"/>
          <w:color w:val="222222"/>
          <w:sz w:val="28"/>
          <w:szCs w:val="28"/>
          <w:rtl/>
        </w:rPr>
        <w:t xml:space="preserve">בבסיס ביצוע </w:t>
      </w:r>
      <w:r>
        <w:rPr>
          <w:rFonts w:ascii="FrankRuehl" w:hAnsi="FrankRuehl" w:cs="FrankRuehl"/>
          <w:color w:val="222222"/>
          <w:sz w:val="28"/>
          <w:szCs w:val="28"/>
          <w:rtl/>
        </w:rPr>
        <w:t xml:space="preserve">העבירות </w:t>
      </w:r>
      <w:r>
        <w:rPr>
          <w:rFonts w:ascii="FrankRuehl" w:hAnsi="FrankRuehl" w:cs="FrankRuehl"/>
          <w:color w:val="222222"/>
          <w:sz w:val="28"/>
          <w:szCs w:val="28"/>
          <w:rtl/>
        </w:rPr>
        <w:lastRenderedPageBreak/>
        <w:t>על ידי הנאש</w:t>
      </w:r>
      <w:r>
        <w:rPr>
          <w:rFonts w:ascii="FrankRuehl" w:hAnsi="FrankRuehl" w:cs="FrankRuehl" w:hint="cs"/>
          <w:color w:val="222222"/>
          <w:sz w:val="28"/>
          <w:szCs w:val="28"/>
          <w:rtl/>
        </w:rPr>
        <w:t>ם. היא גם ציינה, ש</w:t>
      </w:r>
      <w:r w:rsidR="00590E59" w:rsidRPr="00590E59">
        <w:rPr>
          <w:rFonts w:ascii="FrankRuehl" w:hAnsi="FrankRuehl" w:cs="FrankRuehl"/>
          <w:color w:val="222222"/>
          <w:sz w:val="28"/>
          <w:szCs w:val="28"/>
          <w:rtl/>
        </w:rPr>
        <w:t xml:space="preserve">אפשר שהעובדה כי </w:t>
      </w:r>
      <w:r>
        <w:rPr>
          <w:rFonts w:ascii="FrankRuehl" w:hAnsi="FrankRuehl" w:cs="FrankRuehl" w:hint="cs"/>
          <w:color w:val="222222"/>
          <w:sz w:val="28"/>
          <w:szCs w:val="28"/>
          <w:rtl/>
        </w:rPr>
        <w:t xml:space="preserve">הנאשם </w:t>
      </w:r>
      <w:r w:rsidR="00590E59" w:rsidRPr="00590E59">
        <w:rPr>
          <w:rFonts w:ascii="FrankRuehl" w:hAnsi="FrankRuehl" w:cs="FrankRuehl"/>
          <w:color w:val="222222"/>
          <w:sz w:val="28"/>
          <w:szCs w:val="28"/>
          <w:rtl/>
        </w:rPr>
        <w:t>זוכה מחלקים נרחבים שיוחסו לו בכתב האישום, הקשתה על יכולתו לבחון את החלקים בהם הורשע, כטענ</w:t>
      </w:r>
      <w:r>
        <w:rPr>
          <w:rFonts w:ascii="FrankRuehl" w:hAnsi="FrankRuehl" w:cs="FrankRuehl"/>
          <w:color w:val="222222"/>
          <w:sz w:val="28"/>
          <w:szCs w:val="28"/>
          <w:rtl/>
        </w:rPr>
        <w:t>ת ד"ר תמיר. ברם, בסופו של יום</w:t>
      </w:r>
      <w:r>
        <w:rPr>
          <w:rFonts w:ascii="FrankRuehl" w:hAnsi="FrankRuehl" w:cs="FrankRuehl" w:hint="cs"/>
          <w:color w:val="222222"/>
          <w:sz w:val="28"/>
          <w:szCs w:val="28"/>
          <w:rtl/>
        </w:rPr>
        <w:t>, בראיון שקיימה עמו לאחר ארבעה מפגשי טיפול שהוא עבר</w:t>
      </w:r>
      <w:r w:rsidR="006C6B27">
        <w:rPr>
          <w:rFonts w:ascii="FrankRuehl" w:hAnsi="FrankRuehl" w:cs="FrankRuehl" w:hint="cs"/>
          <w:color w:val="222222"/>
          <w:sz w:val="28"/>
          <w:szCs w:val="28"/>
          <w:rtl/>
        </w:rPr>
        <w:t xml:space="preserve">, הוא החל לבטא תובנות לגבי קשייו ופרשנותו לאירועים. </w:t>
      </w:r>
    </w:p>
    <w:p w:rsidR="006C6B27" w:rsidRDefault="006C6B27" w:rsidP="006C6B27">
      <w:pPr>
        <w:shd w:val="clear" w:color="auto" w:fill="FFFFFF"/>
        <w:spacing w:line="360" w:lineRule="auto"/>
        <w:jc w:val="both"/>
        <w:rPr>
          <w:rFonts w:ascii="FrankRuehl" w:hAnsi="FrankRuehl" w:cs="FrankRuehl"/>
          <w:color w:val="222222"/>
          <w:sz w:val="28"/>
          <w:szCs w:val="28"/>
          <w:rtl/>
        </w:rPr>
      </w:pPr>
    </w:p>
    <w:p w:rsidR="00590E59" w:rsidRPr="00590E59" w:rsidRDefault="006C6B27" w:rsidP="006C6B27">
      <w:pPr>
        <w:shd w:val="clear" w:color="auto" w:fill="FFFFFF"/>
        <w:spacing w:line="360" w:lineRule="auto"/>
        <w:jc w:val="both"/>
        <w:rPr>
          <w:rFonts w:ascii="David" w:hAnsi="David"/>
          <w:color w:val="222222"/>
          <w:rtl/>
        </w:rPr>
      </w:pPr>
      <w:r>
        <w:rPr>
          <w:rFonts w:ascii="FrankRuehl" w:hAnsi="FrankRuehl" w:cs="FrankRuehl" w:hint="cs"/>
          <w:color w:val="222222"/>
          <w:sz w:val="28"/>
          <w:szCs w:val="28"/>
          <w:rtl/>
        </w:rPr>
        <w:t>35.</w:t>
      </w:r>
      <w:r>
        <w:rPr>
          <w:rFonts w:ascii="FrankRuehl" w:hAnsi="FrankRuehl" w:cs="FrankRuehl" w:hint="cs"/>
          <w:color w:val="222222"/>
          <w:sz w:val="28"/>
          <w:szCs w:val="28"/>
          <w:rtl/>
        </w:rPr>
        <w:tab/>
      </w:r>
      <w:r w:rsidR="00590E59" w:rsidRPr="00590E59">
        <w:rPr>
          <w:rFonts w:ascii="FrankRuehl" w:hAnsi="FrankRuehl" w:cs="FrankRuehl"/>
          <w:color w:val="222222"/>
          <w:sz w:val="28"/>
          <w:szCs w:val="28"/>
          <w:rtl/>
        </w:rPr>
        <w:t>ב</w:t>
      </w:r>
      <w:r>
        <w:rPr>
          <w:rFonts w:ascii="FrankRuehl" w:hAnsi="FrankRuehl" w:cs="FrankRuehl" w:hint="cs"/>
          <w:color w:val="222222"/>
          <w:sz w:val="28"/>
          <w:szCs w:val="28"/>
          <w:rtl/>
        </w:rPr>
        <w:t xml:space="preserve">סוף </w:t>
      </w:r>
      <w:r w:rsidR="00590E59" w:rsidRPr="00590E59">
        <w:rPr>
          <w:rFonts w:ascii="FrankRuehl" w:hAnsi="FrankRuehl" w:cs="FrankRuehl"/>
          <w:color w:val="222222"/>
          <w:sz w:val="28"/>
          <w:szCs w:val="28"/>
          <w:rtl/>
        </w:rPr>
        <w:t>חוות הדעת</w:t>
      </w:r>
      <w:r>
        <w:rPr>
          <w:rFonts w:ascii="FrankRuehl" w:hAnsi="FrankRuehl" w:cs="FrankRuehl" w:hint="cs"/>
          <w:color w:val="222222"/>
          <w:sz w:val="28"/>
          <w:szCs w:val="28"/>
          <w:rtl/>
        </w:rPr>
        <w:t>,</w:t>
      </w:r>
      <w:r w:rsidR="00590E59" w:rsidRPr="00590E59">
        <w:rPr>
          <w:rFonts w:ascii="FrankRuehl" w:hAnsi="FrankRuehl" w:cs="FrankRuehl"/>
          <w:color w:val="222222"/>
          <w:sz w:val="28"/>
          <w:szCs w:val="28"/>
          <w:rtl/>
        </w:rPr>
        <w:t xml:space="preserve"> ציינה ד"ר תמיר כי להערכתה החשיפה הפומבית </w:t>
      </w:r>
      <w:r>
        <w:rPr>
          <w:rFonts w:ascii="FrankRuehl" w:hAnsi="FrankRuehl" w:cs="FrankRuehl" w:hint="cs"/>
          <w:color w:val="222222"/>
          <w:sz w:val="28"/>
          <w:szCs w:val="28"/>
          <w:rtl/>
        </w:rPr>
        <w:t xml:space="preserve">של מעשי הנאשם </w:t>
      </w:r>
      <w:r w:rsidR="00590E59" w:rsidRPr="00590E59">
        <w:rPr>
          <w:rFonts w:ascii="FrankRuehl" w:hAnsi="FrankRuehl" w:cs="FrankRuehl"/>
          <w:color w:val="222222"/>
          <w:sz w:val="28"/>
          <w:szCs w:val="28"/>
          <w:rtl/>
        </w:rPr>
        <w:t>והגינוי שנלווה לה מצד החברה, לצד חשיפת האירועים בפני בני משפחתו, מהווים גורם מפחית סיכון</w:t>
      </w:r>
      <w:r>
        <w:rPr>
          <w:rFonts w:ascii="FrankRuehl" w:hAnsi="FrankRuehl" w:cs="FrankRuehl" w:hint="cs"/>
          <w:color w:val="222222"/>
          <w:sz w:val="28"/>
          <w:szCs w:val="28"/>
          <w:rtl/>
        </w:rPr>
        <w:t xml:space="preserve">. </w:t>
      </w:r>
      <w:r w:rsidR="00590E59" w:rsidRPr="00590E59">
        <w:rPr>
          <w:rFonts w:ascii="FrankRuehl" w:hAnsi="FrankRuehl" w:cs="FrankRuehl"/>
          <w:color w:val="222222"/>
          <w:sz w:val="28"/>
          <w:szCs w:val="28"/>
          <w:rtl/>
        </w:rPr>
        <w:t>זאת לצד גורמים נוספים שיש בהם כדי להביא להערכה זו, בין היתר, גילו, העדר מעובות קודמת בפלילים ועוד. גם הגורם הטיפולי בו שולב הנאשם לאחרונה מהווה גורם מפחית סיכון.</w:t>
      </w:r>
    </w:p>
    <w:p w:rsidR="00590E59" w:rsidRPr="000828D4" w:rsidRDefault="00590E59" w:rsidP="007B15EA">
      <w:pPr>
        <w:spacing w:line="360" w:lineRule="auto"/>
        <w:jc w:val="both"/>
        <w:rPr>
          <w:rFonts w:ascii="FrankRuehl" w:hAnsi="FrankRuehl" w:cs="FrankRuehl"/>
          <w:sz w:val="28"/>
          <w:szCs w:val="28"/>
        </w:rPr>
      </w:pPr>
    </w:p>
    <w:p w:rsidR="006A1A09" w:rsidRPr="008A219F" w:rsidRDefault="00B01051" w:rsidP="006A1A09">
      <w:pPr>
        <w:spacing w:line="360" w:lineRule="auto"/>
        <w:jc w:val="both"/>
        <w:rPr>
          <w:rFonts w:ascii="FrankRuehl" w:hAnsi="FrankRuehl" w:cs="FrankRuehl"/>
          <w:color w:val="FF0000"/>
          <w:sz w:val="28"/>
          <w:szCs w:val="28"/>
          <w:rtl/>
        </w:rPr>
      </w:pPr>
      <w:r w:rsidRPr="000828D4">
        <w:rPr>
          <w:rFonts w:ascii="FrankRuehl" w:hAnsi="FrankRuehl" w:cs="FrankRuehl" w:hint="cs"/>
          <w:sz w:val="28"/>
          <w:szCs w:val="28"/>
          <w:rtl/>
        </w:rPr>
        <w:t>3</w:t>
      </w:r>
      <w:r w:rsidR="006C6B27" w:rsidRPr="000828D4">
        <w:rPr>
          <w:rFonts w:ascii="FrankRuehl" w:hAnsi="FrankRuehl" w:cs="FrankRuehl" w:hint="cs"/>
          <w:sz w:val="28"/>
          <w:szCs w:val="28"/>
          <w:rtl/>
        </w:rPr>
        <w:t>6</w:t>
      </w:r>
      <w:r w:rsidRPr="000828D4">
        <w:rPr>
          <w:rFonts w:ascii="FrankRuehl" w:hAnsi="FrankRuehl" w:cs="FrankRuehl" w:hint="cs"/>
          <w:sz w:val="28"/>
          <w:szCs w:val="28"/>
          <w:rtl/>
        </w:rPr>
        <w:t>.</w:t>
      </w:r>
      <w:r w:rsidRPr="000828D4">
        <w:rPr>
          <w:rFonts w:ascii="FrankRuehl" w:hAnsi="FrankRuehl" w:cs="FrankRuehl" w:hint="cs"/>
          <w:sz w:val="28"/>
          <w:szCs w:val="28"/>
          <w:rtl/>
        </w:rPr>
        <w:tab/>
      </w:r>
      <w:r w:rsidR="002A23E4" w:rsidRPr="000828D4">
        <w:rPr>
          <w:rFonts w:ascii="FrankRuehl" w:hAnsi="FrankRuehl" w:cs="FrankRuehl" w:hint="cs"/>
          <w:sz w:val="28"/>
          <w:szCs w:val="28"/>
          <w:rtl/>
        </w:rPr>
        <w:t>בפי ב"כ המאשימה היו טענות רבות כנגד חוות דעת זו, הן באשר לעצם הגשתה והן ביחס לתוכנה. איני סבור כי מקרה זה הוא המקרה המצדיק דיון עקרוני בהגשת חוות דעת מעין אלו, שכן בסופו של יום, לא עלו מחוות הדעת עניינים בעלי השפעה מכרעת. למעשה</w:t>
      </w:r>
      <w:r w:rsidR="006C6B27" w:rsidRPr="000828D4">
        <w:rPr>
          <w:rFonts w:ascii="FrankRuehl" w:hAnsi="FrankRuehl" w:cs="FrankRuehl" w:hint="cs"/>
          <w:sz w:val="28"/>
          <w:szCs w:val="28"/>
          <w:rtl/>
        </w:rPr>
        <w:t>,</w:t>
      </w:r>
      <w:r w:rsidR="002A23E4" w:rsidRPr="000828D4">
        <w:rPr>
          <w:rFonts w:ascii="FrankRuehl" w:hAnsi="FrankRuehl" w:cs="FrankRuehl" w:hint="cs"/>
          <w:sz w:val="28"/>
          <w:szCs w:val="28"/>
          <w:rtl/>
        </w:rPr>
        <w:t xml:space="preserve"> יש בה בעיקר פירוט של דברים ששמעה מהנאשם לצד התרשמויות ותובנות שלה, שבמקרה זה אין בהם כדי ל</w:t>
      </w:r>
      <w:r w:rsidR="00270F96" w:rsidRPr="000828D4">
        <w:rPr>
          <w:rFonts w:ascii="FrankRuehl" w:hAnsi="FrankRuehl" w:cs="FrankRuehl" w:hint="cs"/>
          <w:sz w:val="28"/>
          <w:szCs w:val="28"/>
          <w:rtl/>
        </w:rPr>
        <w:t xml:space="preserve">שנות את התמונה לכאן או לכאן. </w:t>
      </w:r>
      <w:r w:rsidR="006A1A09" w:rsidRPr="000828D4">
        <w:rPr>
          <w:rFonts w:ascii="FrankRuehl" w:hAnsi="FrankRuehl" w:cs="FrankRuehl" w:hint="cs"/>
          <w:sz w:val="28"/>
          <w:szCs w:val="28"/>
          <w:rtl/>
        </w:rPr>
        <w:t>בפרט</w:t>
      </w:r>
      <w:r w:rsidR="000828D4">
        <w:rPr>
          <w:rFonts w:ascii="FrankRuehl" w:hAnsi="FrankRuehl" w:cs="FrankRuehl" w:hint="cs"/>
          <w:sz w:val="28"/>
          <w:szCs w:val="28"/>
          <w:rtl/>
        </w:rPr>
        <w:t>,</w:t>
      </w:r>
      <w:r w:rsidR="006A1A09" w:rsidRPr="000828D4">
        <w:rPr>
          <w:rFonts w:ascii="FrankRuehl" w:hAnsi="FrankRuehl" w:cs="FrankRuehl" w:hint="cs"/>
          <w:sz w:val="28"/>
          <w:szCs w:val="28"/>
          <w:rtl/>
        </w:rPr>
        <w:t xml:space="preserve"> נוכח העובדה כי הנאשם לא נטל אחריות על מעשיו, לא בפני ד"ר תמיר ולא בבית המשפט.</w:t>
      </w:r>
      <w:r w:rsidR="006A1A09" w:rsidRPr="008A219F">
        <w:rPr>
          <w:rFonts w:ascii="FrankRuehl" w:hAnsi="FrankRuehl" w:cs="FrankRuehl" w:hint="cs"/>
          <w:color w:val="FF0000"/>
          <w:sz w:val="28"/>
          <w:szCs w:val="28"/>
          <w:rtl/>
        </w:rPr>
        <w:t xml:space="preserve"> </w:t>
      </w:r>
    </w:p>
    <w:p w:rsidR="006A1A09" w:rsidRPr="000828D4" w:rsidRDefault="006A1A09" w:rsidP="006A1A09">
      <w:pPr>
        <w:spacing w:line="360" w:lineRule="auto"/>
        <w:jc w:val="both"/>
        <w:rPr>
          <w:rFonts w:ascii="FrankRuehl" w:hAnsi="FrankRuehl" w:cs="FrankRuehl"/>
          <w:sz w:val="28"/>
          <w:szCs w:val="28"/>
          <w:rtl/>
        </w:rPr>
      </w:pPr>
    </w:p>
    <w:p w:rsidR="002A23E4" w:rsidRPr="000828D4" w:rsidRDefault="006A1A09" w:rsidP="000828D4">
      <w:pPr>
        <w:spacing w:line="360" w:lineRule="auto"/>
        <w:jc w:val="both"/>
        <w:rPr>
          <w:rFonts w:ascii="FrankRuehl" w:hAnsi="FrankRuehl" w:cs="FrankRuehl"/>
          <w:sz w:val="28"/>
          <w:szCs w:val="28"/>
          <w:rtl/>
        </w:rPr>
      </w:pPr>
      <w:r w:rsidRPr="000828D4">
        <w:rPr>
          <w:rFonts w:ascii="FrankRuehl" w:hAnsi="FrankRuehl" w:cs="FrankRuehl" w:hint="cs"/>
          <w:sz w:val="28"/>
          <w:szCs w:val="28"/>
          <w:rtl/>
        </w:rPr>
        <w:t>37.</w:t>
      </w:r>
      <w:r w:rsidRPr="000828D4">
        <w:rPr>
          <w:rFonts w:ascii="FrankRuehl" w:hAnsi="FrankRuehl" w:cs="FrankRuehl" w:hint="cs"/>
          <w:sz w:val="28"/>
          <w:szCs w:val="28"/>
          <w:rtl/>
        </w:rPr>
        <w:tab/>
      </w:r>
      <w:r w:rsidR="00270F96" w:rsidRPr="000828D4">
        <w:rPr>
          <w:rFonts w:ascii="FrankRuehl" w:hAnsi="FrankRuehl" w:cs="FrankRuehl" w:hint="cs"/>
          <w:sz w:val="28"/>
          <w:szCs w:val="28"/>
          <w:rtl/>
        </w:rPr>
        <w:t>את יחסו של הנאשם לאירועים, ככאל</w:t>
      </w:r>
      <w:r w:rsidR="00383DD4" w:rsidRPr="000828D4">
        <w:rPr>
          <w:rFonts w:ascii="FrankRuehl" w:hAnsi="FrankRuehl" w:cs="FrankRuehl" w:hint="cs"/>
          <w:sz w:val="28"/>
          <w:szCs w:val="28"/>
          <w:rtl/>
        </w:rPr>
        <w:t xml:space="preserve">ו שביטאו יחסים הדדים בלבד; הקושי שלו להכיר בפסול שבמעשיו, לא אך בהיבט המוסרי כלפי בני משפחתו, כי אם ביחס לפגיעה בטוהר השירות הציבורי, בחובתו לפעול על פי הדין לטובת הציבור, כשהוא מקדם על חשבון ערכים אלו </w:t>
      </w:r>
      <w:r w:rsidR="00383DD4" w:rsidRPr="000828D4">
        <w:rPr>
          <w:rFonts w:ascii="FrankRuehl" w:eastAsia="Calibri" w:hAnsi="FrankRuehl" w:cs="FrankRuehl" w:hint="cs"/>
          <w:sz w:val="28"/>
          <w:szCs w:val="28"/>
          <w:rtl/>
        </w:rPr>
        <w:t xml:space="preserve">אינטרסים אישיים שלו, ובשל הכוח שהיה בידו הוא פגע </w:t>
      </w:r>
      <w:r w:rsidR="00383DD4" w:rsidRPr="000828D4">
        <w:rPr>
          <w:rFonts w:ascii="FrankRuehl" w:hAnsi="FrankRuehl" w:cs="FrankRuehl" w:hint="cs"/>
          <w:sz w:val="28"/>
          <w:szCs w:val="28"/>
          <w:rtl/>
        </w:rPr>
        <w:t>גם בנשים שלא יכלו לסרב סירוב של ממש לשיתוף פעולה עם השיחות שניהל איתן ובכל הנוגע לט' גם בקיום היחסים עמה</w:t>
      </w:r>
      <w:r w:rsidRPr="000828D4">
        <w:rPr>
          <w:rFonts w:ascii="FrankRuehl" w:hAnsi="FrankRuehl" w:cs="FrankRuehl" w:hint="cs"/>
          <w:sz w:val="28"/>
          <w:szCs w:val="28"/>
          <w:rtl/>
        </w:rPr>
        <w:t xml:space="preserve">; הטרוניות כנגד התנהלות גורמי החקירה כנגדו ומול הנשים שנחקרו והטענה כי כתב האישום קשור לרדיפתו בגין שחיתויות שחשף לאורך השנים </w:t>
      </w:r>
      <w:r w:rsidRPr="000828D4">
        <w:rPr>
          <w:rFonts w:ascii="FrankRuehl" w:hAnsi="FrankRuehl" w:cs="FrankRuehl"/>
          <w:sz w:val="28"/>
          <w:szCs w:val="28"/>
          <w:rtl/>
        </w:rPr>
        <w:t>–</w:t>
      </w:r>
      <w:r w:rsidRPr="000828D4">
        <w:rPr>
          <w:rFonts w:ascii="FrankRuehl" w:hAnsi="FrankRuehl" w:cs="FrankRuehl" w:hint="cs"/>
          <w:sz w:val="28"/>
          <w:szCs w:val="28"/>
          <w:rtl/>
        </w:rPr>
        <w:t xml:space="preserve"> כל אלו נשמעו מפי הנאשם עצמו לאורך ההליך כולו, הן מפיו ישירות והן מפי באי כוחו. גם לא מעט מהתובנות של ד"ר תמיר במסגרת חוות דעתה ניתן היה לזהות במהלך הדיונים הארוכים שהתקיימו. </w:t>
      </w:r>
    </w:p>
    <w:p w:rsidR="002A23E4" w:rsidRPr="000828D4" w:rsidRDefault="002A23E4" w:rsidP="007B15EA">
      <w:pPr>
        <w:spacing w:line="360" w:lineRule="auto"/>
        <w:jc w:val="both"/>
        <w:rPr>
          <w:rFonts w:ascii="FrankRuehl" w:hAnsi="FrankRuehl" w:cs="FrankRuehl"/>
          <w:sz w:val="28"/>
          <w:szCs w:val="28"/>
          <w:rtl/>
        </w:rPr>
      </w:pPr>
    </w:p>
    <w:p w:rsidR="00216710" w:rsidRPr="000828D4" w:rsidRDefault="00B01051" w:rsidP="000828D4">
      <w:pPr>
        <w:spacing w:line="360" w:lineRule="auto"/>
        <w:jc w:val="both"/>
        <w:rPr>
          <w:rFonts w:ascii="FrankRuehl" w:eastAsia="Calibri" w:hAnsi="FrankRuehl" w:cs="FrankRuehl"/>
          <w:sz w:val="28"/>
          <w:szCs w:val="28"/>
          <w:rtl/>
        </w:rPr>
      </w:pPr>
      <w:r w:rsidRPr="000828D4">
        <w:rPr>
          <w:rFonts w:ascii="FrankRuehl" w:hAnsi="FrankRuehl" w:cs="FrankRuehl" w:hint="cs"/>
          <w:sz w:val="28"/>
          <w:szCs w:val="28"/>
          <w:rtl/>
        </w:rPr>
        <w:t>3</w:t>
      </w:r>
      <w:r w:rsidR="00DF3284" w:rsidRPr="000828D4">
        <w:rPr>
          <w:rFonts w:ascii="FrankRuehl" w:hAnsi="FrankRuehl" w:cs="FrankRuehl" w:hint="cs"/>
          <w:sz w:val="28"/>
          <w:szCs w:val="28"/>
          <w:rtl/>
        </w:rPr>
        <w:t>8</w:t>
      </w:r>
      <w:r w:rsidRPr="000828D4">
        <w:rPr>
          <w:rFonts w:ascii="FrankRuehl" w:hAnsi="FrankRuehl" w:cs="FrankRuehl" w:hint="cs"/>
          <w:sz w:val="28"/>
          <w:szCs w:val="28"/>
          <w:rtl/>
        </w:rPr>
        <w:t>.</w:t>
      </w:r>
      <w:r w:rsidRPr="000828D4">
        <w:rPr>
          <w:rFonts w:ascii="FrankRuehl" w:hAnsi="FrankRuehl" w:cs="FrankRuehl" w:hint="cs"/>
          <w:sz w:val="28"/>
          <w:szCs w:val="28"/>
          <w:rtl/>
        </w:rPr>
        <w:tab/>
      </w:r>
      <w:r w:rsidR="002A23E4" w:rsidRPr="000828D4">
        <w:rPr>
          <w:rFonts w:ascii="FrankRuehl" w:hAnsi="FrankRuehl" w:cs="FrankRuehl" w:hint="cs"/>
          <w:sz w:val="28"/>
          <w:szCs w:val="28"/>
          <w:rtl/>
        </w:rPr>
        <w:t xml:space="preserve">עם זאת אציין, כי </w:t>
      </w:r>
      <w:r w:rsidR="00F73359" w:rsidRPr="000828D4">
        <w:rPr>
          <w:rFonts w:ascii="FrankRuehl" w:hAnsi="FrankRuehl" w:cs="FrankRuehl" w:hint="cs"/>
          <w:sz w:val="28"/>
          <w:szCs w:val="28"/>
          <w:rtl/>
        </w:rPr>
        <w:t xml:space="preserve">לטענת ב"כ המאשימה כי אין מקום להגשת חוות דעת פרטיות, יש לאסור את הגשתן, ויש לעשות שימוש אך ורק בתסקירי שירות המבחן, אין יסוד בדין. בכל פסקי הדין בהם </w:t>
      </w:r>
      <w:r w:rsidR="00F73359" w:rsidRPr="000828D4">
        <w:rPr>
          <w:rFonts w:ascii="FrankRuehl" w:hAnsi="FrankRuehl" w:cs="FrankRuehl" w:hint="cs"/>
          <w:sz w:val="28"/>
          <w:szCs w:val="28"/>
          <w:rtl/>
        </w:rPr>
        <w:lastRenderedPageBreak/>
        <w:t>דן בית המשפט העליון בחוות דעת פרטיות מעין אלו, לא נקבע כי הן אינן קבילות וכי אין מקום להגשתן. נקבע</w:t>
      </w:r>
      <w:r w:rsidR="008A219F" w:rsidRPr="000828D4">
        <w:rPr>
          <w:rFonts w:ascii="FrankRuehl" w:hAnsi="FrankRuehl" w:cs="FrankRuehl" w:hint="cs"/>
          <w:sz w:val="28"/>
          <w:szCs w:val="28"/>
          <w:rtl/>
        </w:rPr>
        <w:t>,</w:t>
      </w:r>
      <w:r w:rsidR="00F73359" w:rsidRPr="000828D4">
        <w:rPr>
          <w:rFonts w:ascii="FrankRuehl" w:hAnsi="FrankRuehl" w:cs="FrankRuehl" w:hint="cs"/>
          <w:sz w:val="28"/>
          <w:szCs w:val="28"/>
          <w:rtl/>
        </w:rPr>
        <w:t xml:space="preserve"> כי</w:t>
      </w:r>
      <w:r w:rsidR="00DF3284" w:rsidRPr="000828D4">
        <w:rPr>
          <w:rFonts w:ascii="FrankRuehl" w:hAnsi="FrankRuehl" w:cs="FrankRuehl" w:hint="cs"/>
          <w:sz w:val="28"/>
          <w:szCs w:val="28"/>
          <w:rtl/>
        </w:rPr>
        <w:t xml:space="preserve"> בכל הנוגע להצגת תמונה אמיתית, מהימנה ושלימה בכל הנוגע לעונש שנכון להשית על נאשם כדי להחזירו למוטב, ניתנת עדיפות על תסקיר מטעם שירות המבחן שהוא הגורם המקצועי האובייקטיבי שיועד לתכלית זו</w:t>
      </w:r>
      <w:r w:rsidR="008A219F" w:rsidRPr="000828D4">
        <w:rPr>
          <w:rFonts w:ascii="FrankRuehl" w:hAnsi="FrankRuehl" w:cs="FrankRuehl" w:hint="cs"/>
          <w:sz w:val="28"/>
          <w:szCs w:val="28"/>
          <w:rtl/>
        </w:rPr>
        <w:t xml:space="preserve"> (ראו: בש"פ 660/15 </w:t>
      </w:r>
      <w:r w:rsidR="008A219F" w:rsidRPr="000828D4">
        <w:rPr>
          <w:rFonts w:ascii="FrankRuehl" w:hAnsi="FrankRuehl" w:cs="FrankRuehl" w:hint="cs"/>
          <w:b/>
          <w:bCs/>
          <w:sz w:val="28"/>
          <w:szCs w:val="28"/>
          <w:rtl/>
        </w:rPr>
        <w:t>מדינת ישראל נ' פלוני</w:t>
      </w:r>
      <w:r w:rsidR="008A219F" w:rsidRPr="000828D4">
        <w:rPr>
          <w:rFonts w:ascii="FrankRuehl" w:hAnsi="FrankRuehl" w:cs="FrankRuehl" w:hint="cs"/>
          <w:sz w:val="28"/>
          <w:szCs w:val="28"/>
          <w:rtl/>
        </w:rPr>
        <w:t xml:space="preserve"> (28.01.15); ת"פ (מחוזי-י-ם) 58725-08-18 </w:t>
      </w:r>
      <w:r w:rsidR="008A219F" w:rsidRPr="000828D4">
        <w:rPr>
          <w:rFonts w:ascii="FrankRuehl" w:hAnsi="FrankRuehl" w:cs="FrankRuehl" w:hint="cs"/>
          <w:b/>
          <w:bCs/>
          <w:sz w:val="28"/>
          <w:szCs w:val="28"/>
          <w:rtl/>
        </w:rPr>
        <w:t>מדינת ישראל נ' כהן</w:t>
      </w:r>
      <w:r w:rsidR="008A219F" w:rsidRPr="000828D4">
        <w:rPr>
          <w:rFonts w:ascii="FrankRuehl" w:hAnsi="FrankRuehl" w:cs="FrankRuehl" w:hint="cs"/>
          <w:sz w:val="28"/>
          <w:szCs w:val="28"/>
          <w:rtl/>
        </w:rPr>
        <w:t xml:space="preserve"> (2.03.22)). </w:t>
      </w:r>
      <w:r w:rsidR="00F73359" w:rsidRPr="000828D4">
        <w:rPr>
          <w:rFonts w:ascii="FrankRuehl" w:hAnsi="FrankRuehl" w:cs="FrankRuehl" w:hint="cs"/>
          <w:sz w:val="28"/>
          <w:szCs w:val="28"/>
          <w:rtl/>
        </w:rPr>
        <w:t xml:space="preserve">לצד זאת, לא ניתן להתעלם מטענות הסניגורים כי </w:t>
      </w:r>
      <w:r w:rsidR="00216710" w:rsidRPr="000828D4">
        <w:rPr>
          <w:rFonts w:ascii="FrankRuehl" w:eastAsia="Calibri" w:hAnsi="FrankRuehl" w:cs="FrankRuehl" w:hint="cs"/>
          <w:sz w:val="28"/>
          <w:szCs w:val="28"/>
          <w:rtl/>
        </w:rPr>
        <w:t>הפנייה לקבלת חוות דעת פרטית תחת פנייה לשירות המבחן, נעשתה, בין היתר, בשל העומס הרב המוטל על שירות המבחן, ובשל הצורך באבחון מניעים פרטני וממוקד</w:t>
      </w:r>
      <w:r w:rsidR="000828D4" w:rsidRPr="000828D4">
        <w:rPr>
          <w:rFonts w:ascii="FrankRuehl" w:eastAsia="Calibri" w:hAnsi="FrankRuehl" w:cs="FrankRuehl" w:hint="cs"/>
          <w:sz w:val="28"/>
          <w:szCs w:val="28"/>
          <w:rtl/>
        </w:rPr>
        <w:t xml:space="preserve"> ותוך פרק זמן סביר</w:t>
      </w:r>
      <w:r w:rsidR="00216710" w:rsidRPr="000828D4">
        <w:rPr>
          <w:rFonts w:ascii="FrankRuehl" w:eastAsia="Calibri" w:hAnsi="FrankRuehl" w:cs="FrankRuehl" w:hint="cs"/>
          <w:sz w:val="28"/>
          <w:szCs w:val="28"/>
          <w:rtl/>
        </w:rPr>
        <w:t>.</w:t>
      </w:r>
      <w:r w:rsidR="008A219F" w:rsidRPr="000828D4">
        <w:rPr>
          <w:rFonts w:ascii="FrankRuehl" w:eastAsia="Calibri" w:hAnsi="FrankRuehl" w:cs="FrankRuehl" w:hint="cs"/>
          <w:sz w:val="28"/>
          <w:szCs w:val="28"/>
          <w:rtl/>
        </w:rPr>
        <w:t xml:space="preserve"> כאמור, </w:t>
      </w:r>
      <w:r w:rsidR="000828D4" w:rsidRPr="000828D4">
        <w:rPr>
          <w:rFonts w:ascii="FrankRuehl" w:eastAsia="Calibri" w:hAnsi="FrankRuehl" w:cs="FrankRuehl" w:hint="cs"/>
          <w:sz w:val="28"/>
          <w:szCs w:val="28"/>
          <w:rtl/>
        </w:rPr>
        <w:t xml:space="preserve">כך או כך </w:t>
      </w:r>
      <w:r w:rsidR="008A219F" w:rsidRPr="000828D4">
        <w:rPr>
          <w:rFonts w:ascii="FrankRuehl" w:eastAsia="Calibri" w:hAnsi="FrankRuehl" w:cs="FrankRuehl" w:hint="cs"/>
          <w:sz w:val="28"/>
          <w:szCs w:val="28"/>
          <w:rtl/>
        </w:rPr>
        <w:t>אין לכל אלו נפקות של ממש</w:t>
      </w:r>
      <w:r w:rsidR="000828D4" w:rsidRPr="000828D4">
        <w:rPr>
          <w:rFonts w:ascii="FrankRuehl" w:eastAsia="Calibri" w:hAnsi="FrankRuehl" w:cs="FrankRuehl" w:hint="cs"/>
          <w:sz w:val="28"/>
          <w:szCs w:val="28"/>
          <w:rtl/>
        </w:rPr>
        <w:t xml:space="preserve"> לענייננו</w:t>
      </w:r>
      <w:r w:rsidR="008A219F" w:rsidRPr="000828D4">
        <w:rPr>
          <w:rFonts w:ascii="FrankRuehl" w:eastAsia="Calibri" w:hAnsi="FrankRuehl" w:cs="FrankRuehl" w:hint="cs"/>
          <w:sz w:val="28"/>
          <w:szCs w:val="28"/>
          <w:rtl/>
        </w:rPr>
        <w:t xml:space="preserve">. חוות הדעת אינה באה בהמלצה לעניין העונש, והאמור בה לא יכול להיות שנוי במחלוקת של ממש.  </w:t>
      </w:r>
    </w:p>
    <w:p w:rsidR="00216710" w:rsidRDefault="00216710" w:rsidP="002A23E4">
      <w:pPr>
        <w:spacing w:line="360" w:lineRule="auto"/>
        <w:jc w:val="both"/>
        <w:rPr>
          <w:rFonts w:ascii="FrankRuehl" w:hAnsi="FrankRuehl" w:cs="FrankRuehl"/>
          <w:sz w:val="28"/>
          <w:szCs w:val="28"/>
          <w:rtl/>
        </w:rPr>
      </w:pPr>
    </w:p>
    <w:p w:rsidR="007B15EA" w:rsidRPr="003852A3" w:rsidRDefault="00F73359" w:rsidP="00F73359">
      <w:pPr>
        <w:spacing w:line="360" w:lineRule="auto"/>
        <w:jc w:val="both"/>
        <w:rPr>
          <w:rFonts w:ascii="FrankRuehl" w:hAnsi="FrankRuehl" w:cs="FrankRuehl"/>
          <w:b/>
          <w:bCs/>
          <w:sz w:val="28"/>
          <w:szCs w:val="28"/>
          <w:u w:val="single"/>
          <w:rtl/>
        </w:rPr>
      </w:pPr>
      <w:r w:rsidRPr="003852A3">
        <w:rPr>
          <w:rFonts w:ascii="FrankRuehl" w:hAnsi="FrankRuehl" w:cs="FrankRuehl" w:hint="cs"/>
          <w:b/>
          <w:bCs/>
          <w:sz w:val="28"/>
          <w:szCs w:val="28"/>
          <w:u w:val="single"/>
          <w:rtl/>
        </w:rPr>
        <w:t>טיעוני ב"כ הצדדים לעונש</w:t>
      </w:r>
      <w:r w:rsidR="002A23E4" w:rsidRPr="003852A3">
        <w:rPr>
          <w:rFonts w:ascii="FrankRuehl" w:hAnsi="FrankRuehl" w:cs="FrankRuehl" w:hint="cs"/>
          <w:b/>
          <w:bCs/>
          <w:sz w:val="28"/>
          <w:szCs w:val="28"/>
          <w:u w:val="single"/>
          <w:rtl/>
        </w:rPr>
        <w:t xml:space="preserve"> </w:t>
      </w:r>
    </w:p>
    <w:p w:rsidR="00081B31" w:rsidRPr="003852A3" w:rsidRDefault="00B01051" w:rsidP="008A219F">
      <w:pPr>
        <w:spacing w:line="360" w:lineRule="auto"/>
        <w:jc w:val="both"/>
        <w:rPr>
          <w:rFonts w:ascii="FrankRuehl" w:hAnsi="FrankRuehl" w:cs="FrankRuehl"/>
          <w:sz w:val="28"/>
          <w:szCs w:val="28"/>
          <w:rtl/>
        </w:rPr>
      </w:pPr>
      <w:r>
        <w:rPr>
          <w:rFonts w:ascii="FrankRuehl" w:hAnsi="FrankRuehl" w:cs="FrankRuehl" w:hint="cs"/>
          <w:sz w:val="28"/>
          <w:szCs w:val="28"/>
          <w:rtl/>
        </w:rPr>
        <w:t>3</w:t>
      </w:r>
      <w:r w:rsidR="008A219F">
        <w:rPr>
          <w:rFonts w:ascii="FrankRuehl" w:hAnsi="FrankRuehl" w:cs="FrankRuehl" w:hint="cs"/>
          <w:sz w:val="28"/>
          <w:szCs w:val="28"/>
          <w:rtl/>
        </w:rPr>
        <w:t>9</w:t>
      </w:r>
      <w:r>
        <w:rPr>
          <w:rFonts w:ascii="FrankRuehl" w:hAnsi="FrankRuehl" w:cs="FrankRuehl" w:hint="cs"/>
          <w:sz w:val="28"/>
          <w:szCs w:val="28"/>
          <w:rtl/>
        </w:rPr>
        <w:t>.</w:t>
      </w:r>
      <w:r>
        <w:rPr>
          <w:rFonts w:ascii="FrankRuehl" w:hAnsi="FrankRuehl" w:cs="FrankRuehl" w:hint="cs"/>
          <w:sz w:val="28"/>
          <w:szCs w:val="28"/>
          <w:rtl/>
        </w:rPr>
        <w:tab/>
      </w:r>
      <w:r w:rsidR="00F73359" w:rsidRPr="003852A3">
        <w:rPr>
          <w:rFonts w:ascii="FrankRuehl" w:hAnsi="FrankRuehl" w:cs="FrankRuehl" w:hint="cs"/>
          <w:sz w:val="28"/>
          <w:szCs w:val="28"/>
          <w:rtl/>
        </w:rPr>
        <w:t>בטיעוניו</w:t>
      </w:r>
      <w:r w:rsidR="00402EAB">
        <w:rPr>
          <w:rFonts w:ascii="FrankRuehl" w:hAnsi="FrankRuehl" w:cs="FrankRuehl" w:hint="cs"/>
          <w:sz w:val="28"/>
          <w:szCs w:val="28"/>
          <w:rtl/>
        </w:rPr>
        <w:t>,</w:t>
      </w:r>
      <w:r w:rsidR="00F73359" w:rsidRPr="003852A3">
        <w:rPr>
          <w:rFonts w:ascii="FrankRuehl" w:hAnsi="FrankRuehl" w:cs="FrankRuehl" w:hint="cs"/>
          <w:sz w:val="28"/>
          <w:szCs w:val="28"/>
          <w:rtl/>
        </w:rPr>
        <w:t xml:space="preserve"> עמד ב"כ המאשימה על חומרתה של עבירת השוחד והפגיעה הקשה שלה </w:t>
      </w:r>
      <w:r w:rsidR="00B832CD" w:rsidRPr="003852A3">
        <w:rPr>
          <w:rFonts w:ascii="FrankRuehl" w:hAnsi="FrankRuehl" w:cs="FrankRuehl" w:hint="cs"/>
          <w:sz w:val="28"/>
          <w:szCs w:val="28"/>
          <w:rtl/>
        </w:rPr>
        <w:t xml:space="preserve">באמון הציבור בעובדי השירות הציבורי ואף </w:t>
      </w:r>
      <w:r w:rsidR="00F73359" w:rsidRPr="003852A3">
        <w:rPr>
          <w:rFonts w:ascii="FrankRuehl" w:hAnsi="FrankRuehl" w:cs="FrankRuehl" w:hint="cs"/>
          <w:sz w:val="28"/>
          <w:szCs w:val="28"/>
          <w:rtl/>
        </w:rPr>
        <w:t xml:space="preserve">בעקרונות </w:t>
      </w:r>
      <w:r w:rsidR="007B15EA" w:rsidRPr="003852A3">
        <w:rPr>
          <w:rFonts w:ascii="FrankRuehl" w:hAnsi="FrankRuehl" w:cs="FrankRuehl" w:hint="cs"/>
          <w:sz w:val="28"/>
          <w:szCs w:val="28"/>
          <w:rtl/>
        </w:rPr>
        <w:t>הדמוקרטיה</w:t>
      </w:r>
      <w:r w:rsidR="00B832CD" w:rsidRPr="003852A3">
        <w:rPr>
          <w:rFonts w:ascii="FrankRuehl" w:hAnsi="FrankRuehl" w:cs="FrankRuehl" w:hint="cs"/>
          <w:sz w:val="28"/>
          <w:szCs w:val="28"/>
          <w:rtl/>
        </w:rPr>
        <w:t xml:space="preserve">. מדובר, לדבריו, בעבירה </w:t>
      </w:r>
      <w:r w:rsidR="00081B31" w:rsidRPr="003852A3">
        <w:rPr>
          <w:rFonts w:ascii="FrankRuehl" w:hAnsi="FrankRuehl" w:cs="FrankRuehl" w:hint="cs"/>
          <w:sz w:val="28"/>
          <w:szCs w:val="28"/>
          <w:rtl/>
        </w:rPr>
        <w:t xml:space="preserve">שהיא מסממני ההיכר של מדינות העולם השלישי. </w:t>
      </w:r>
      <w:r w:rsidR="00B832CD" w:rsidRPr="003852A3">
        <w:rPr>
          <w:rFonts w:ascii="FrankRuehl" w:hAnsi="FrankRuehl" w:cs="FrankRuehl" w:hint="cs"/>
          <w:sz w:val="28"/>
          <w:szCs w:val="28"/>
          <w:rtl/>
        </w:rPr>
        <w:t xml:space="preserve">הוא הצביע על מגמת ההחמרה בענישה בגין עבירה זו, שבא לידי ביטוי הן בתיקון </w:t>
      </w:r>
      <w:r w:rsidR="007B15EA" w:rsidRPr="003852A3">
        <w:rPr>
          <w:rFonts w:ascii="FrankRuehl" w:hAnsi="FrankRuehl" w:cs="FrankRuehl" w:hint="cs"/>
          <w:sz w:val="28"/>
          <w:szCs w:val="28"/>
          <w:rtl/>
        </w:rPr>
        <w:t xml:space="preserve">103 לחוק העונשין משנת 2010 </w:t>
      </w:r>
      <w:r w:rsidR="00B832CD" w:rsidRPr="003852A3">
        <w:rPr>
          <w:rFonts w:ascii="FrankRuehl" w:hAnsi="FrankRuehl" w:cs="FrankRuehl" w:hint="cs"/>
          <w:sz w:val="28"/>
          <w:szCs w:val="28"/>
          <w:rtl/>
        </w:rPr>
        <w:t xml:space="preserve">במסגרתו הוחמרה </w:t>
      </w:r>
      <w:r w:rsidR="007B15EA" w:rsidRPr="003852A3">
        <w:rPr>
          <w:rFonts w:ascii="FrankRuehl" w:hAnsi="FrankRuehl" w:cs="FrankRuehl" w:hint="cs"/>
          <w:sz w:val="28"/>
          <w:szCs w:val="28"/>
          <w:rtl/>
        </w:rPr>
        <w:t xml:space="preserve">הענישה בעבירה של לקיחת שוחד </w:t>
      </w:r>
      <w:r w:rsidR="00B832CD" w:rsidRPr="003852A3">
        <w:rPr>
          <w:rFonts w:ascii="FrankRuehl" w:hAnsi="FrankRuehl" w:cs="FrankRuehl" w:hint="cs"/>
          <w:sz w:val="28"/>
          <w:szCs w:val="28"/>
          <w:rtl/>
        </w:rPr>
        <w:t xml:space="preserve">משבע  לעשר שנות מאסר, והן מפסיקת בתי המשפט. </w:t>
      </w:r>
      <w:r w:rsidR="00081B31" w:rsidRPr="003852A3">
        <w:rPr>
          <w:rFonts w:ascii="FrankRuehl" w:hAnsi="FrankRuehl" w:cs="FrankRuehl" w:hint="cs"/>
          <w:sz w:val="28"/>
          <w:szCs w:val="28"/>
          <w:rtl/>
        </w:rPr>
        <w:t>במקרה זה, ישנה פגיעה מוסרית קשה במיוחד, בשים לב לכך שמדובר ב</w:t>
      </w:r>
      <w:r w:rsidR="00B832CD" w:rsidRPr="003852A3">
        <w:rPr>
          <w:rFonts w:ascii="FrankRuehl" w:hAnsi="FrankRuehl" w:cs="FrankRuehl" w:hint="cs"/>
          <w:sz w:val="28"/>
          <w:szCs w:val="28"/>
          <w:rtl/>
        </w:rPr>
        <w:t xml:space="preserve">שוחד מיני </w:t>
      </w:r>
      <w:r w:rsidR="00081B31" w:rsidRPr="003852A3">
        <w:rPr>
          <w:rFonts w:ascii="FrankRuehl" w:hAnsi="FrankRuehl" w:cs="FrankRuehl" w:hint="cs"/>
          <w:sz w:val="28"/>
          <w:szCs w:val="28"/>
          <w:rtl/>
        </w:rPr>
        <w:t>שנלקח תוך נ</w:t>
      </w:r>
      <w:r w:rsidR="00B832CD" w:rsidRPr="003852A3">
        <w:rPr>
          <w:rFonts w:ascii="FrankRuehl" w:hAnsi="FrankRuehl" w:cs="FrankRuehl" w:hint="cs"/>
          <w:sz w:val="28"/>
          <w:szCs w:val="28"/>
          <w:rtl/>
        </w:rPr>
        <w:t xml:space="preserve">יצול מכפיר </w:t>
      </w:r>
      <w:r w:rsidR="00081B31" w:rsidRPr="003852A3">
        <w:rPr>
          <w:rFonts w:ascii="FrankRuehl" w:hAnsi="FrankRuehl" w:cs="FrankRuehl" w:hint="cs"/>
          <w:sz w:val="28"/>
          <w:szCs w:val="28"/>
          <w:rtl/>
        </w:rPr>
        <w:t>של חוסר ה</w:t>
      </w:r>
      <w:r w:rsidR="00B832CD" w:rsidRPr="003852A3">
        <w:rPr>
          <w:rFonts w:ascii="FrankRuehl" w:hAnsi="FrankRuehl" w:cs="FrankRuehl" w:hint="cs"/>
          <w:sz w:val="28"/>
          <w:szCs w:val="28"/>
          <w:rtl/>
        </w:rPr>
        <w:t>שוויון,</w:t>
      </w:r>
      <w:r w:rsidR="00081B31" w:rsidRPr="003852A3">
        <w:rPr>
          <w:rFonts w:ascii="FrankRuehl" w:hAnsi="FrankRuehl" w:cs="FrankRuehl" w:hint="cs"/>
          <w:sz w:val="28"/>
          <w:szCs w:val="28"/>
          <w:rtl/>
        </w:rPr>
        <w:t xml:space="preserve"> בין הנאשם לאותן נשים שנזקקו לשירותיו. ב"כ המאשימה גם עמד על כך שאין מדובר במעידה חד פעמית של הנאשם אלא ברצף מעשים שחזרו על עצמם לאורך תקופה. הוא עמד על בכירותו ומעמדו הרם של הנאשם ברשות האוכלוסין מחד, ועל כך שהנשים מהן ביקש ולקח את השוחד היו נשים מוחלשות. העונש במקרה זה, כך טען, צריך לבטא </w:t>
      </w:r>
      <w:r w:rsidR="00B832CD" w:rsidRPr="003852A3">
        <w:rPr>
          <w:rFonts w:ascii="FrankRuehl" w:hAnsi="FrankRuehl" w:cs="FrankRuehl" w:hint="cs"/>
          <w:sz w:val="28"/>
          <w:szCs w:val="28"/>
          <w:rtl/>
        </w:rPr>
        <w:t>את הנזק הציב</w:t>
      </w:r>
      <w:r w:rsidR="00081B31" w:rsidRPr="003852A3">
        <w:rPr>
          <w:rFonts w:ascii="FrankRuehl" w:hAnsi="FrankRuehl" w:cs="FrankRuehl" w:hint="cs"/>
          <w:sz w:val="28"/>
          <w:szCs w:val="28"/>
          <w:rtl/>
        </w:rPr>
        <w:t>ורי והמוסרי שנגרם ממעשיו המכוערים של הנאשם.</w:t>
      </w:r>
    </w:p>
    <w:p w:rsidR="00B832CD" w:rsidRPr="003852A3" w:rsidRDefault="00B832CD" w:rsidP="00B832CD">
      <w:pPr>
        <w:spacing w:line="360" w:lineRule="auto"/>
        <w:jc w:val="both"/>
        <w:rPr>
          <w:rFonts w:ascii="FrankRuehl" w:hAnsi="FrankRuehl" w:cs="FrankRuehl"/>
          <w:sz w:val="28"/>
          <w:szCs w:val="28"/>
          <w:rtl/>
        </w:rPr>
      </w:pPr>
    </w:p>
    <w:p w:rsidR="003852A3" w:rsidRPr="003852A3" w:rsidRDefault="00402EAB" w:rsidP="003852A3">
      <w:pPr>
        <w:spacing w:line="360" w:lineRule="auto"/>
        <w:jc w:val="both"/>
        <w:rPr>
          <w:rFonts w:ascii="FrankRuehl" w:hAnsi="FrankRuehl" w:cs="FrankRuehl"/>
          <w:sz w:val="28"/>
          <w:szCs w:val="28"/>
          <w:rtl/>
        </w:rPr>
      </w:pPr>
      <w:r>
        <w:rPr>
          <w:rFonts w:ascii="FrankRuehl" w:hAnsi="FrankRuehl" w:cs="FrankRuehl" w:hint="cs"/>
          <w:sz w:val="28"/>
          <w:szCs w:val="28"/>
          <w:rtl/>
        </w:rPr>
        <w:t>40</w:t>
      </w:r>
      <w:r w:rsidR="00B01051">
        <w:rPr>
          <w:rFonts w:ascii="FrankRuehl" w:hAnsi="FrankRuehl" w:cs="FrankRuehl" w:hint="cs"/>
          <w:sz w:val="28"/>
          <w:szCs w:val="28"/>
          <w:rtl/>
        </w:rPr>
        <w:t>.</w:t>
      </w:r>
      <w:r w:rsidR="00B01051">
        <w:rPr>
          <w:rFonts w:ascii="FrankRuehl" w:hAnsi="FrankRuehl" w:cs="FrankRuehl" w:hint="cs"/>
          <w:sz w:val="28"/>
          <w:szCs w:val="28"/>
          <w:rtl/>
        </w:rPr>
        <w:tab/>
      </w:r>
      <w:r w:rsidR="00B832CD" w:rsidRPr="003852A3">
        <w:rPr>
          <w:rFonts w:ascii="FrankRuehl" w:hAnsi="FrankRuehl" w:cs="FrankRuehl" w:hint="cs"/>
          <w:sz w:val="28"/>
          <w:szCs w:val="28"/>
          <w:rtl/>
        </w:rPr>
        <w:t>ב"</w:t>
      </w:r>
      <w:r w:rsidR="003852A3">
        <w:rPr>
          <w:rFonts w:ascii="FrankRuehl" w:hAnsi="FrankRuehl" w:cs="FrankRuehl" w:hint="cs"/>
          <w:sz w:val="28"/>
          <w:szCs w:val="28"/>
          <w:rtl/>
        </w:rPr>
        <w:t>כ המאשימה עת</w:t>
      </w:r>
      <w:r w:rsidR="00B832CD" w:rsidRPr="003852A3">
        <w:rPr>
          <w:rFonts w:ascii="FrankRuehl" w:hAnsi="FrankRuehl" w:cs="FrankRuehl" w:hint="cs"/>
          <w:sz w:val="28"/>
          <w:szCs w:val="28"/>
          <w:rtl/>
        </w:rPr>
        <w:t xml:space="preserve">ר לקביעת מתחם עונש הולם נפרד לכל אחד ואחד מהאישומים, בהעדר </w:t>
      </w:r>
      <w:r w:rsidR="007B15EA" w:rsidRPr="003852A3">
        <w:rPr>
          <w:rFonts w:ascii="FrankRuehl" w:hAnsi="FrankRuehl" w:cs="FrankRuehl" w:hint="cs"/>
          <w:sz w:val="28"/>
          <w:szCs w:val="28"/>
          <w:rtl/>
        </w:rPr>
        <w:t>קשר ענייני והדוק</w:t>
      </w:r>
      <w:r w:rsidR="00B832CD" w:rsidRPr="003852A3">
        <w:rPr>
          <w:rFonts w:ascii="FrankRuehl" w:hAnsi="FrankRuehl" w:cs="FrankRuehl" w:hint="cs"/>
          <w:sz w:val="28"/>
          <w:szCs w:val="28"/>
          <w:rtl/>
        </w:rPr>
        <w:t xml:space="preserve"> בין המקרים, לבד מ</w:t>
      </w:r>
      <w:r w:rsidR="007B15EA" w:rsidRPr="003852A3">
        <w:rPr>
          <w:rFonts w:ascii="FrankRuehl" w:hAnsi="FrankRuehl" w:cs="FrankRuehl" w:hint="cs"/>
          <w:sz w:val="28"/>
          <w:szCs w:val="28"/>
          <w:rtl/>
        </w:rPr>
        <w:t>השיטתיות בה פעל הנאשם</w:t>
      </w:r>
      <w:r w:rsidR="00B832CD" w:rsidRPr="003852A3">
        <w:rPr>
          <w:rFonts w:ascii="FrankRuehl" w:hAnsi="FrankRuehl" w:cs="FrankRuehl" w:hint="cs"/>
          <w:sz w:val="28"/>
          <w:szCs w:val="28"/>
          <w:rtl/>
        </w:rPr>
        <w:t xml:space="preserve">. מדובר, לשיטתו, </w:t>
      </w:r>
      <w:r w:rsidR="007B15EA" w:rsidRPr="003852A3">
        <w:rPr>
          <w:rFonts w:ascii="FrankRuehl" w:hAnsi="FrankRuehl" w:cs="FrankRuehl" w:hint="cs"/>
          <w:sz w:val="28"/>
          <w:szCs w:val="28"/>
          <w:rtl/>
        </w:rPr>
        <w:t xml:space="preserve">באירועים נפרדים </w:t>
      </w:r>
      <w:r w:rsidR="00B832CD" w:rsidRPr="003852A3">
        <w:rPr>
          <w:rFonts w:ascii="FrankRuehl" w:hAnsi="FrankRuehl" w:cs="FrankRuehl" w:hint="cs"/>
          <w:sz w:val="28"/>
          <w:szCs w:val="28"/>
          <w:rtl/>
        </w:rPr>
        <w:t xml:space="preserve">שלכל </w:t>
      </w:r>
      <w:r w:rsidR="007B15EA" w:rsidRPr="003852A3">
        <w:rPr>
          <w:rFonts w:ascii="FrankRuehl" w:hAnsi="FrankRuehl" w:cs="FrankRuehl" w:hint="cs"/>
          <w:sz w:val="28"/>
          <w:szCs w:val="28"/>
          <w:rtl/>
        </w:rPr>
        <w:t xml:space="preserve">אחד </w:t>
      </w:r>
      <w:r w:rsidR="00B832CD" w:rsidRPr="003852A3">
        <w:rPr>
          <w:rFonts w:ascii="FrankRuehl" w:hAnsi="FrankRuehl" w:cs="FrankRuehl" w:hint="cs"/>
          <w:sz w:val="28"/>
          <w:szCs w:val="28"/>
          <w:rtl/>
        </w:rPr>
        <w:t>נ</w:t>
      </w:r>
      <w:r w:rsidR="007B15EA" w:rsidRPr="003852A3">
        <w:rPr>
          <w:rFonts w:ascii="FrankRuehl" w:hAnsi="FrankRuehl" w:cs="FrankRuehl" w:hint="cs"/>
          <w:sz w:val="28"/>
          <w:szCs w:val="28"/>
          <w:rtl/>
        </w:rPr>
        <w:t>סיבות משלו.</w:t>
      </w:r>
      <w:r w:rsidR="00B832CD" w:rsidRPr="003852A3">
        <w:rPr>
          <w:rFonts w:ascii="FrankRuehl" w:hAnsi="FrankRuehl" w:cs="FrankRuehl" w:hint="cs"/>
          <w:sz w:val="28"/>
          <w:szCs w:val="28"/>
          <w:rtl/>
        </w:rPr>
        <w:t xml:space="preserve"> </w:t>
      </w:r>
      <w:r w:rsidR="003852A3" w:rsidRPr="003852A3">
        <w:rPr>
          <w:rFonts w:ascii="FrankRuehl" w:hAnsi="FrankRuehl" w:cs="FrankRuehl" w:hint="cs"/>
          <w:sz w:val="28"/>
          <w:szCs w:val="28"/>
          <w:rtl/>
        </w:rPr>
        <w:t>נטען</w:t>
      </w:r>
      <w:r w:rsidR="003852A3">
        <w:rPr>
          <w:rFonts w:ascii="FrankRuehl" w:hAnsi="FrankRuehl" w:cs="FrankRuehl" w:hint="cs"/>
          <w:sz w:val="28"/>
          <w:szCs w:val="28"/>
          <w:rtl/>
        </w:rPr>
        <w:t xml:space="preserve"> גם</w:t>
      </w:r>
      <w:r w:rsidR="003852A3" w:rsidRPr="003852A3">
        <w:rPr>
          <w:rFonts w:ascii="FrankRuehl" w:hAnsi="FrankRuehl" w:cs="FrankRuehl" w:hint="cs"/>
          <w:sz w:val="28"/>
          <w:szCs w:val="28"/>
          <w:rtl/>
        </w:rPr>
        <w:t xml:space="preserve">, כי אין מקום לחפיפה משמעותית בין המתחמים השונים. </w:t>
      </w:r>
    </w:p>
    <w:p w:rsidR="00B832CD" w:rsidRPr="003852A3" w:rsidRDefault="00B832CD" w:rsidP="00B832CD">
      <w:pPr>
        <w:spacing w:line="360" w:lineRule="auto"/>
        <w:jc w:val="both"/>
        <w:rPr>
          <w:rFonts w:ascii="FrankRuehl" w:hAnsi="FrankRuehl" w:cs="FrankRuehl"/>
          <w:sz w:val="28"/>
          <w:szCs w:val="28"/>
          <w:rtl/>
        </w:rPr>
      </w:pPr>
    </w:p>
    <w:p w:rsidR="00081B31" w:rsidRPr="003852A3" w:rsidRDefault="00081B31" w:rsidP="00B832CD">
      <w:pPr>
        <w:spacing w:line="360" w:lineRule="auto"/>
        <w:jc w:val="both"/>
        <w:rPr>
          <w:rFonts w:ascii="FrankRuehl" w:hAnsi="FrankRuehl" w:cs="FrankRuehl"/>
          <w:sz w:val="28"/>
          <w:szCs w:val="28"/>
          <w:rtl/>
        </w:rPr>
      </w:pPr>
      <w:r w:rsidRPr="003852A3">
        <w:rPr>
          <w:rFonts w:ascii="FrankRuehl" w:hAnsi="FrankRuehl" w:cs="FrankRuehl" w:hint="cs"/>
          <w:sz w:val="28"/>
          <w:szCs w:val="28"/>
          <w:rtl/>
        </w:rPr>
        <w:t>בהמשך לכך</w:t>
      </w:r>
      <w:r w:rsidR="00D37296" w:rsidRPr="003852A3">
        <w:rPr>
          <w:rFonts w:ascii="FrankRuehl" w:hAnsi="FrankRuehl" w:cs="FrankRuehl" w:hint="cs"/>
          <w:sz w:val="28"/>
          <w:szCs w:val="28"/>
          <w:rtl/>
        </w:rPr>
        <w:t>,</w:t>
      </w:r>
      <w:r w:rsidRPr="003852A3">
        <w:rPr>
          <w:rFonts w:ascii="FrankRuehl" w:hAnsi="FrankRuehl" w:cs="FrankRuehl" w:hint="cs"/>
          <w:sz w:val="28"/>
          <w:szCs w:val="28"/>
          <w:rtl/>
        </w:rPr>
        <w:t xml:space="preserve"> עמד </w:t>
      </w:r>
      <w:r w:rsidR="00D37296" w:rsidRPr="003852A3">
        <w:rPr>
          <w:rFonts w:ascii="FrankRuehl" w:hAnsi="FrankRuehl" w:cs="FrankRuehl" w:hint="cs"/>
          <w:sz w:val="28"/>
          <w:szCs w:val="28"/>
          <w:rtl/>
        </w:rPr>
        <w:t xml:space="preserve">ב"כ המאשימה </w:t>
      </w:r>
      <w:r w:rsidRPr="003852A3">
        <w:rPr>
          <w:rFonts w:ascii="FrankRuehl" w:hAnsi="FrankRuehl" w:cs="FrankRuehl" w:hint="cs"/>
          <w:sz w:val="28"/>
          <w:szCs w:val="28"/>
          <w:rtl/>
        </w:rPr>
        <w:t xml:space="preserve">על נסיבות כל אחד ואחד מהאישומים. </w:t>
      </w:r>
    </w:p>
    <w:p w:rsidR="00B832CD" w:rsidRPr="003852A3" w:rsidRDefault="00B832CD" w:rsidP="00B832CD">
      <w:pPr>
        <w:spacing w:line="360" w:lineRule="auto"/>
        <w:jc w:val="both"/>
        <w:rPr>
          <w:rFonts w:ascii="FrankRuehl" w:hAnsi="FrankRuehl" w:cs="FrankRuehl"/>
          <w:sz w:val="28"/>
          <w:szCs w:val="28"/>
          <w:rtl/>
        </w:rPr>
      </w:pPr>
    </w:p>
    <w:p w:rsidR="00D725D8" w:rsidRPr="003852A3" w:rsidRDefault="00402EAB" w:rsidP="00402EAB">
      <w:pPr>
        <w:spacing w:line="360" w:lineRule="auto"/>
        <w:jc w:val="both"/>
        <w:rPr>
          <w:rFonts w:ascii="FrankRuehl" w:hAnsi="FrankRuehl" w:cs="FrankRuehl"/>
          <w:sz w:val="28"/>
          <w:szCs w:val="28"/>
          <w:rtl/>
        </w:rPr>
      </w:pPr>
      <w:r>
        <w:rPr>
          <w:rFonts w:ascii="FrankRuehl" w:hAnsi="FrankRuehl" w:cs="FrankRuehl" w:hint="cs"/>
          <w:sz w:val="28"/>
          <w:szCs w:val="28"/>
          <w:rtl/>
        </w:rPr>
        <w:lastRenderedPageBreak/>
        <w:t>41</w:t>
      </w:r>
      <w:r w:rsidR="00B01051">
        <w:rPr>
          <w:rFonts w:ascii="FrankRuehl" w:hAnsi="FrankRuehl" w:cs="FrankRuehl" w:hint="cs"/>
          <w:sz w:val="28"/>
          <w:szCs w:val="28"/>
          <w:rtl/>
        </w:rPr>
        <w:t>.</w:t>
      </w:r>
      <w:r w:rsidR="00B01051">
        <w:rPr>
          <w:rFonts w:ascii="FrankRuehl" w:hAnsi="FrankRuehl" w:cs="FrankRuehl" w:hint="cs"/>
          <w:sz w:val="28"/>
          <w:szCs w:val="28"/>
          <w:rtl/>
        </w:rPr>
        <w:tab/>
      </w:r>
      <w:r w:rsidR="00081B31" w:rsidRPr="003852A3">
        <w:rPr>
          <w:rFonts w:ascii="FrankRuehl" w:hAnsi="FrankRuehl" w:cs="FrankRuehl" w:hint="cs"/>
          <w:sz w:val="28"/>
          <w:szCs w:val="28"/>
          <w:rtl/>
        </w:rPr>
        <w:t xml:space="preserve">באישום השני, </w:t>
      </w:r>
      <w:r w:rsidR="007B15EA" w:rsidRPr="003852A3">
        <w:rPr>
          <w:rFonts w:ascii="FrankRuehl" w:hAnsi="FrankRuehl" w:cs="FrankRuehl" w:hint="cs"/>
          <w:sz w:val="28"/>
          <w:szCs w:val="28"/>
          <w:rtl/>
        </w:rPr>
        <w:t>הנאשם</w:t>
      </w:r>
      <w:r w:rsidR="00081B31" w:rsidRPr="003852A3">
        <w:rPr>
          <w:rFonts w:ascii="FrankRuehl" w:hAnsi="FrankRuehl" w:cs="FrankRuehl" w:hint="cs"/>
          <w:sz w:val="28"/>
          <w:szCs w:val="28"/>
          <w:rtl/>
        </w:rPr>
        <w:t xml:space="preserve"> </w:t>
      </w:r>
      <w:r w:rsidR="007B15EA" w:rsidRPr="003852A3">
        <w:rPr>
          <w:rFonts w:ascii="FrankRuehl" w:hAnsi="FrankRuehl" w:cs="FrankRuehl" w:hint="cs"/>
          <w:sz w:val="28"/>
          <w:szCs w:val="28"/>
          <w:rtl/>
        </w:rPr>
        <w:t>פעל כדי לקדם את עניינה של י'</w:t>
      </w:r>
      <w:r w:rsidR="00081B31" w:rsidRPr="003852A3">
        <w:rPr>
          <w:rFonts w:ascii="FrankRuehl" w:hAnsi="FrankRuehl" w:cs="FrankRuehl" w:hint="cs"/>
          <w:sz w:val="28"/>
          <w:szCs w:val="28"/>
          <w:rtl/>
        </w:rPr>
        <w:t xml:space="preserve">, תוך שהוא פועל מול </w:t>
      </w:r>
      <w:r w:rsidR="007B15EA" w:rsidRPr="003852A3">
        <w:rPr>
          <w:rFonts w:ascii="FrankRuehl" w:hAnsi="FrankRuehl" w:cs="FrankRuehl" w:hint="cs"/>
          <w:sz w:val="28"/>
          <w:szCs w:val="28"/>
          <w:rtl/>
        </w:rPr>
        <w:t>עובדת אחרת במשרד,</w:t>
      </w:r>
      <w:r w:rsidR="00081B31" w:rsidRPr="003852A3">
        <w:rPr>
          <w:rFonts w:ascii="FrankRuehl" w:hAnsi="FrankRuehl" w:cs="FrankRuehl" w:hint="cs"/>
          <w:sz w:val="28"/>
          <w:szCs w:val="28"/>
          <w:rtl/>
        </w:rPr>
        <w:t xml:space="preserve"> ומנסה לשכנע לו לסייע בידיו </w:t>
      </w:r>
      <w:r w:rsidR="007B15EA" w:rsidRPr="003852A3">
        <w:rPr>
          <w:rFonts w:ascii="FrankRuehl" w:hAnsi="FrankRuehl" w:cs="FrankRuehl" w:hint="cs"/>
          <w:sz w:val="28"/>
          <w:szCs w:val="28"/>
          <w:rtl/>
        </w:rPr>
        <w:t>להשאיר את י' בארץ</w:t>
      </w:r>
      <w:r w:rsidR="00081B31" w:rsidRPr="003852A3">
        <w:rPr>
          <w:rFonts w:ascii="FrankRuehl" w:hAnsi="FrankRuehl" w:cs="FrankRuehl" w:hint="cs"/>
          <w:sz w:val="28"/>
          <w:szCs w:val="28"/>
          <w:rtl/>
        </w:rPr>
        <w:t xml:space="preserve">. </w:t>
      </w:r>
      <w:r w:rsidR="007B15EA" w:rsidRPr="003852A3">
        <w:rPr>
          <w:rFonts w:ascii="FrankRuehl" w:hAnsi="FrankRuehl" w:cs="FrankRuehl" w:hint="cs"/>
          <w:sz w:val="28"/>
          <w:szCs w:val="28"/>
          <w:rtl/>
        </w:rPr>
        <w:t xml:space="preserve">הוא ביקש </w:t>
      </w:r>
      <w:r w:rsidR="00081B31" w:rsidRPr="003852A3">
        <w:rPr>
          <w:rFonts w:ascii="FrankRuehl" w:hAnsi="FrankRuehl" w:cs="FrankRuehl" w:hint="cs"/>
          <w:sz w:val="28"/>
          <w:szCs w:val="28"/>
          <w:rtl/>
        </w:rPr>
        <w:t>מ</w:t>
      </w:r>
      <w:r w:rsidR="00D725D8" w:rsidRPr="003852A3">
        <w:rPr>
          <w:rFonts w:ascii="FrankRuehl" w:hAnsi="FrankRuehl" w:cs="FrankRuehl" w:hint="cs"/>
          <w:sz w:val="28"/>
          <w:szCs w:val="28"/>
          <w:rtl/>
        </w:rPr>
        <w:t>י' ל</w:t>
      </w:r>
      <w:r w:rsidR="007B15EA" w:rsidRPr="003852A3">
        <w:rPr>
          <w:rFonts w:ascii="FrankRuehl" w:hAnsi="FrankRuehl" w:cs="FrankRuehl" w:hint="cs"/>
          <w:sz w:val="28"/>
          <w:szCs w:val="28"/>
          <w:rtl/>
        </w:rPr>
        <w:t>קיים אית</w:t>
      </w:r>
      <w:r w:rsidR="00081B31" w:rsidRPr="003852A3">
        <w:rPr>
          <w:rFonts w:ascii="FrankRuehl" w:hAnsi="FrankRuehl" w:cs="FrankRuehl" w:hint="cs"/>
          <w:sz w:val="28"/>
          <w:szCs w:val="28"/>
          <w:rtl/>
        </w:rPr>
        <w:t>ו</w:t>
      </w:r>
      <w:r w:rsidR="007B15EA" w:rsidRPr="003852A3">
        <w:rPr>
          <w:rFonts w:ascii="FrankRuehl" w:hAnsi="FrankRuehl" w:cs="FrankRuehl" w:hint="cs"/>
          <w:sz w:val="28"/>
          <w:szCs w:val="28"/>
          <w:rtl/>
        </w:rPr>
        <w:t xml:space="preserve"> יחסי מין</w:t>
      </w:r>
      <w:r w:rsidR="00081B31" w:rsidRPr="003852A3">
        <w:rPr>
          <w:rFonts w:ascii="FrankRuehl" w:hAnsi="FrankRuehl" w:cs="FrankRuehl" w:hint="cs"/>
          <w:sz w:val="28"/>
          <w:szCs w:val="28"/>
          <w:rtl/>
        </w:rPr>
        <w:t xml:space="preserve">, בהיותו מודע </w:t>
      </w:r>
      <w:r w:rsidR="007B15EA" w:rsidRPr="003852A3">
        <w:rPr>
          <w:rFonts w:ascii="FrankRuehl" w:hAnsi="FrankRuehl" w:cs="FrankRuehl" w:hint="cs"/>
          <w:sz w:val="28"/>
          <w:szCs w:val="28"/>
          <w:rtl/>
        </w:rPr>
        <w:t>לתלות</w:t>
      </w:r>
      <w:r w:rsidR="00D725D8" w:rsidRPr="003852A3">
        <w:rPr>
          <w:rFonts w:ascii="FrankRuehl" w:hAnsi="FrankRuehl" w:cs="FrankRuehl" w:hint="cs"/>
          <w:sz w:val="28"/>
          <w:szCs w:val="28"/>
          <w:rtl/>
        </w:rPr>
        <w:t xml:space="preserve">ה </w:t>
      </w:r>
      <w:r w:rsidR="007B15EA" w:rsidRPr="003852A3">
        <w:rPr>
          <w:rFonts w:ascii="FrankRuehl" w:hAnsi="FrankRuehl" w:cs="FrankRuehl" w:hint="cs"/>
          <w:sz w:val="28"/>
          <w:szCs w:val="28"/>
          <w:rtl/>
        </w:rPr>
        <w:t>בו</w:t>
      </w:r>
      <w:r w:rsidR="00D725D8" w:rsidRPr="003852A3">
        <w:rPr>
          <w:rFonts w:ascii="FrankRuehl" w:hAnsi="FrankRuehl" w:cs="FrankRuehl" w:hint="cs"/>
          <w:sz w:val="28"/>
          <w:szCs w:val="28"/>
          <w:rtl/>
        </w:rPr>
        <w:t xml:space="preserve">, והעדר יכולת ממשית לסרב לבקשה זו. לטענת המאשימה, מתחם העונש </w:t>
      </w:r>
      <w:r w:rsidR="007B15EA" w:rsidRPr="003852A3">
        <w:rPr>
          <w:rFonts w:ascii="FrankRuehl" w:hAnsi="FrankRuehl" w:cs="FrankRuehl" w:hint="cs"/>
          <w:sz w:val="28"/>
          <w:szCs w:val="28"/>
          <w:rtl/>
        </w:rPr>
        <w:t xml:space="preserve">ההולם </w:t>
      </w:r>
      <w:r w:rsidR="00D725D8" w:rsidRPr="003852A3">
        <w:rPr>
          <w:rFonts w:ascii="FrankRuehl" w:hAnsi="FrankRuehl" w:cs="FrankRuehl" w:hint="cs"/>
          <w:sz w:val="28"/>
          <w:szCs w:val="28"/>
          <w:rtl/>
        </w:rPr>
        <w:t xml:space="preserve">אישום זה בנסיבותיו </w:t>
      </w:r>
      <w:r w:rsidR="007B15EA" w:rsidRPr="003852A3">
        <w:rPr>
          <w:rFonts w:ascii="FrankRuehl" w:hAnsi="FrankRuehl" w:cs="FrankRuehl" w:hint="cs"/>
          <w:sz w:val="28"/>
          <w:szCs w:val="28"/>
          <w:rtl/>
        </w:rPr>
        <w:t>נע</w:t>
      </w:r>
      <w:r w:rsidR="00D725D8" w:rsidRPr="003852A3">
        <w:rPr>
          <w:rFonts w:ascii="FrankRuehl" w:hAnsi="FrankRuehl" w:cs="FrankRuehl" w:hint="cs"/>
          <w:sz w:val="28"/>
          <w:szCs w:val="28"/>
          <w:rtl/>
        </w:rPr>
        <w:t xml:space="preserve"> מ-15 ועד 30 חודשי מאסר </w:t>
      </w:r>
      <w:r w:rsidR="007B15EA" w:rsidRPr="003852A3">
        <w:rPr>
          <w:rFonts w:ascii="FrankRuehl" w:hAnsi="FrankRuehl" w:cs="FrankRuehl" w:hint="cs"/>
          <w:sz w:val="28"/>
          <w:szCs w:val="28"/>
          <w:rtl/>
        </w:rPr>
        <w:t xml:space="preserve">בפועל, לצד מאסר מותנה וקנס משמעותי. </w:t>
      </w:r>
    </w:p>
    <w:p w:rsidR="00D725D8" w:rsidRPr="003852A3" w:rsidRDefault="00D725D8" w:rsidP="007B15EA">
      <w:pPr>
        <w:spacing w:line="360" w:lineRule="auto"/>
        <w:jc w:val="both"/>
        <w:rPr>
          <w:rFonts w:ascii="FrankRuehl" w:hAnsi="FrankRuehl" w:cs="FrankRuehl"/>
          <w:sz w:val="28"/>
          <w:szCs w:val="28"/>
          <w:rtl/>
        </w:rPr>
      </w:pPr>
    </w:p>
    <w:p w:rsidR="00D725D8" w:rsidRPr="003852A3" w:rsidRDefault="00402EAB" w:rsidP="00D725D8">
      <w:pPr>
        <w:spacing w:line="360" w:lineRule="auto"/>
        <w:jc w:val="both"/>
        <w:rPr>
          <w:rFonts w:ascii="FrankRuehl" w:hAnsi="FrankRuehl" w:cs="FrankRuehl"/>
          <w:sz w:val="28"/>
          <w:szCs w:val="28"/>
          <w:rtl/>
        </w:rPr>
      </w:pPr>
      <w:r>
        <w:rPr>
          <w:rFonts w:ascii="FrankRuehl" w:hAnsi="FrankRuehl" w:cs="FrankRuehl" w:hint="cs"/>
          <w:sz w:val="28"/>
          <w:szCs w:val="28"/>
          <w:rtl/>
        </w:rPr>
        <w:t>42</w:t>
      </w:r>
      <w:r w:rsidR="00B01051">
        <w:rPr>
          <w:rFonts w:ascii="FrankRuehl" w:hAnsi="FrankRuehl" w:cs="FrankRuehl" w:hint="cs"/>
          <w:sz w:val="28"/>
          <w:szCs w:val="28"/>
          <w:rtl/>
        </w:rPr>
        <w:t>.</w:t>
      </w:r>
      <w:r w:rsidR="00B01051">
        <w:rPr>
          <w:rFonts w:ascii="FrankRuehl" w:hAnsi="FrankRuehl" w:cs="FrankRuehl" w:hint="cs"/>
          <w:sz w:val="28"/>
          <w:szCs w:val="28"/>
          <w:rtl/>
        </w:rPr>
        <w:tab/>
      </w:r>
      <w:r w:rsidR="00D725D8" w:rsidRPr="003852A3">
        <w:rPr>
          <w:rFonts w:ascii="FrankRuehl" w:hAnsi="FrankRuehl" w:cs="FrankRuehl" w:hint="cs"/>
          <w:sz w:val="28"/>
          <w:szCs w:val="28"/>
          <w:rtl/>
        </w:rPr>
        <w:t>ב</w:t>
      </w:r>
      <w:r w:rsidR="007B15EA" w:rsidRPr="003852A3">
        <w:rPr>
          <w:rFonts w:ascii="FrankRuehl" w:hAnsi="FrankRuehl" w:cs="FrankRuehl" w:hint="cs"/>
          <w:sz w:val="28"/>
          <w:szCs w:val="28"/>
          <w:rtl/>
        </w:rPr>
        <w:t>אישום השלישי, הנאשם פעל בצורה משמעותית מול</w:t>
      </w:r>
      <w:r w:rsidR="00D725D8" w:rsidRPr="003852A3">
        <w:rPr>
          <w:rFonts w:ascii="FrankRuehl" w:hAnsi="FrankRuehl" w:cs="FrankRuehl" w:hint="cs"/>
          <w:sz w:val="28"/>
          <w:szCs w:val="28"/>
          <w:rtl/>
        </w:rPr>
        <w:t xml:space="preserve"> עובדים נוספים ברשות </w:t>
      </w:r>
      <w:r w:rsidR="007B15EA" w:rsidRPr="003852A3">
        <w:rPr>
          <w:rFonts w:ascii="FrankRuehl" w:hAnsi="FrankRuehl" w:cs="FrankRuehl" w:hint="cs"/>
          <w:sz w:val="28"/>
          <w:szCs w:val="28"/>
          <w:rtl/>
        </w:rPr>
        <w:t xml:space="preserve">כדי להסיר את </w:t>
      </w:r>
      <w:r w:rsidR="00D725D8" w:rsidRPr="003852A3">
        <w:rPr>
          <w:rFonts w:ascii="FrankRuehl" w:hAnsi="FrankRuehl" w:cs="FrankRuehl" w:hint="cs"/>
          <w:sz w:val="28"/>
          <w:szCs w:val="28"/>
          <w:rtl/>
        </w:rPr>
        <w:t xml:space="preserve">התנאי שנקבע לאישור כניסתם לישראל של בני משפחתה של </w:t>
      </w:r>
      <w:r w:rsidR="007B15EA" w:rsidRPr="003852A3">
        <w:rPr>
          <w:rFonts w:ascii="FrankRuehl" w:hAnsi="FrankRuehl" w:cs="FrankRuehl" w:hint="cs"/>
          <w:sz w:val="28"/>
          <w:szCs w:val="28"/>
          <w:rtl/>
        </w:rPr>
        <w:t>ו'</w:t>
      </w:r>
      <w:r w:rsidR="00D725D8" w:rsidRPr="003852A3">
        <w:rPr>
          <w:rFonts w:ascii="FrankRuehl" w:hAnsi="FrankRuehl" w:cs="FrankRuehl" w:hint="cs"/>
          <w:sz w:val="28"/>
          <w:szCs w:val="28"/>
          <w:rtl/>
        </w:rPr>
        <w:t>. הנאשם היה ער למצוקתה</w:t>
      </w:r>
      <w:r w:rsidR="007B15EA" w:rsidRPr="003852A3">
        <w:rPr>
          <w:rFonts w:ascii="FrankRuehl" w:hAnsi="FrankRuehl" w:cs="FrankRuehl" w:hint="cs"/>
          <w:sz w:val="28"/>
          <w:szCs w:val="28"/>
          <w:rtl/>
        </w:rPr>
        <w:t xml:space="preserve"> של ו' וניצל זאת </w:t>
      </w:r>
      <w:r w:rsidR="00D725D8" w:rsidRPr="003852A3">
        <w:rPr>
          <w:rFonts w:ascii="FrankRuehl" w:hAnsi="FrankRuehl" w:cs="FrankRuehl" w:hint="cs"/>
          <w:sz w:val="28"/>
          <w:szCs w:val="28"/>
          <w:rtl/>
        </w:rPr>
        <w:t>כדי לקבל מתת מיני. גם באישום זה טענה המאשימה למתחם עונש הולם הנע מ-15 ועד 30 חודשי מאסר בפועל, לצד מאסר מותנה וקנס משמעותי.</w:t>
      </w:r>
    </w:p>
    <w:p w:rsidR="00D725D8" w:rsidRPr="003852A3" w:rsidRDefault="00D725D8" w:rsidP="00D725D8">
      <w:pPr>
        <w:spacing w:line="360" w:lineRule="auto"/>
        <w:jc w:val="both"/>
        <w:rPr>
          <w:rFonts w:ascii="FrankRuehl" w:hAnsi="FrankRuehl" w:cs="FrankRuehl"/>
          <w:sz w:val="28"/>
          <w:szCs w:val="28"/>
          <w:rtl/>
        </w:rPr>
      </w:pPr>
    </w:p>
    <w:p w:rsidR="007B15EA" w:rsidRPr="003852A3" w:rsidRDefault="00402EAB" w:rsidP="00D37296">
      <w:pPr>
        <w:spacing w:line="360" w:lineRule="auto"/>
        <w:jc w:val="both"/>
        <w:rPr>
          <w:rFonts w:ascii="FrankRuehl" w:hAnsi="FrankRuehl" w:cs="FrankRuehl"/>
          <w:sz w:val="28"/>
          <w:szCs w:val="28"/>
          <w:rtl/>
        </w:rPr>
      </w:pPr>
      <w:r>
        <w:rPr>
          <w:rFonts w:ascii="FrankRuehl" w:hAnsi="FrankRuehl" w:cs="FrankRuehl" w:hint="cs"/>
          <w:sz w:val="28"/>
          <w:szCs w:val="28"/>
          <w:rtl/>
        </w:rPr>
        <w:t>43</w:t>
      </w:r>
      <w:r w:rsidR="00B01051">
        <w:rPr>
          <w:rFonts w:ascii="FrankRuehl" w:hAnsi="FrankRuehl" w:cs="FrankRuehl" w:hint="cs"/>
          <w:sz w:val="28"/>
          <w:szCs w:val="28"/>
          <w:rtl/>
        </w:rPr>
        <w:t>.</w:t>
      </w:r>
      <w:r w:rsidR="00B01051">
        <w:rPr>
          <w:rFonts w:ascii="FrankRuehl" w:hAnsi="FrankRuehl" w:cs="FrankRuehl" w:hint="cs"/>
          <w:sz w:val="28"/>
          <w:szCs w:val="28"/>
          <w:rtl/>
        </w:rPr>
        <w:tab/>
      </w:r>
      <w:r w:rsidR="00D725D8" w:rsidRPr="003852A3">
        <w:rPr>
          <w:rFonts w:ascii="FrankRuehl" w:hAnsi="FrankRuehl" w:cs="FrankRuehl" w:hint="cs"/>
          <w:sz w:val="28"/>
          <w:szCs w:val="28"/>
          <w:rtl/>
        </w:rPr>
        <w:t xml:space="preserve">כך גם באישום החמישי, הנאשם ניצל את העובדה כי ט' המתינה בציפייה דרוכה </w:t>
      </w:r>
      <w:r w:rsidR="007B15EA" w:rsidRPr="003852A3">
        <w:rPr>
          <w:rFonts w:ascii="FrankRuehl" w:hAnsi="FrankRuehl" w:cs="FrankRuehl" w:hint="cs"/>
          <w:sz w:val="28"/>
          <w:szCs w:val="28"/>
          <w:rtl/>
        </w:rPr>
        <w:t>להחלטת הממשלה</w:t>
      </w:r>
      <w:r w:rsidR="00D725D8" w:rsidRPr="003852A3">
        <w:rPr>
          <w:rFonts w:ascii="FrankRuehl" w:hAnsi="FrankRuehl" w:cs="FrankRuehl" w:hint="cs"/>
          <w:sz w:val="28"/>
          <w:szCs w:val="28"/>
          <w:rtl/>
        </w:rPr>
        <w:t xml:space="preserve"> שהייתה יכולה להשאירה בישראל, ופעל לקיים עמה יחסי מין. גם לאחר קיום יחסי המין, הנאשם </w:t>
      </w:r>
      <w:r w:rsidR="007B15EA" w:rsidRPr="003852A3">
        <w:rPr>
          <w:rFonts w:ascii="FrankRuehl" w:hAnsi="FrankRuehl" w:cs="FrankRuehl" w:hint="cs"/>
          <w:sz w:val="28"/>
          <w:szCs w:val="28"/>
          <w:rtl/>
        </w:rPr>
        <w:t>חזר פעם אחר פעם בשיחות</w:t>
      </w:r>
      <w:r w:rsidR="00D725D8" w:rsidRPr="003852A3">
        <w:rPr>
          <w:rFonts w:ascii="FrankRuehl" w:hAnsi="FrankRuehl" w:cs="FrankRuehl" w:hint="cs"/>
          <w:sz w:val="28"/>
          <w:szCs w:val="28"/>
          <w:rtl/>
        </w:rPr>
        <w:t>יו עם ט' על רצונו ב</w:t>
      </w:r>
      <w:r w:rsidR="007B15EA" w:rsidRPr="003852A3">
        <w:rPr>
          <w:rFonts w:ascii="FrankRuehl" w:hAnsi="FrankRuehl" w:cs="FrankRuehl" w:hint="cs"/>
          <w:sz w:val="28"/>
          <w:szCs w:val="28"/>
          <w:rtl/>
        </w:rPr>
        <w:t>מגע מיני נוסף</w:t>
      </w:r>
      <w:r w:rsidR="00D725D8" w:rsidRPr="003852A3">
        <w:rPr>
          <w:rFonts w:ascii="FrankRuehl" w:hAnsi="FrankRuehl" w:cs="FrankRuehl" w:hint="cs"/>
          <w:sz w:val="28"/>
          <w:szCs w:val="28"/>
          <w:rtl/>
        </w:rPr>
        <w:t xml:space="preserve"> עמה</w:t>
      </w:r>
      <w:r w:rsidR="00D37296" w:rsidRPr="003852A3">
        <w:rPr>
          <w:rFonts w:ascii="FrankRuehl" w:hAnsi="FrankRuehl" w:cs="FrankRuehl" w:hint="cs"/>
          <w:sz w:val="28"/>
          <w:szCs w:val="28"/>
          <w:rtl/>
        </w:rPr>
        <w:t xml:space="preserve">. גם פה נטען למתחם עונש הולם הנע מ-15 ועד </w:t>
      </w:r>
      <w:r w:rsidR="007B15EA" w:rsidRPr="003852A3">
        <w:rPr>
          <w:rFonts w:ascii="FrankRuehl" w:hAnsi="FrankRuehl" w:cs="FrankRuehl" w:hint="cs"/>
          <w:sz w:val="28"/>
          <w:szCs w:val="28"/>
          <w:rtl/>
        </w:rPr>
        <w:t xml:space="preserve">30 </w:t>
      </w:r>
      <w:r w:rsidR="00D37296" w:rsidRPr="003852A3">
        <w:rPr>
          <w:rFonts w:ascii="FrankRuehl" w:hAnsi="FrankRuehl" w:cs="FrankRuehl" w:hint="cs"/>
          <w:sz w:val="28"/>
          <w:szCs w:val="28"/>
          <w:rtl/>
        </w:rPr>
        <w:t xml:space="preserve">חודשי </w:t>
      </w:r>
      <w:r w:rsidR="007B15EA" w:rsidRPr="003852A3">
        <w:rPr>
          <w:rFonts w:ascii="FrankRuehl" w:hAnsi="FrankRuehl" w:cs="FrankRuehl" w:hint="cs"/>
          <w:sz w:val="28"/>
          <w:szCs w:val="28"/>
          <w:rtl/>
        </w:rPr>
        <w:t>מאסר בפועל, לצד מאסר מותנה וקנס משמעותי.</w:t>
      </w:r>
    </w:p>
    <w:p w:rsidR="00D37296" w:rsidRPr="003852A3" w:rsidRDefault="00D37296" w:rsidP="00D37296">
      <w:pPr>
        <w:spacing w:line="360" w:lineRule="auto"/>
        <w:jc w:val="both"/>
        <w:rPr>
          <w:rFonts w:ascii="FrankRuehl" w:hAnsi="FrankRuehl" w:cs="FrankRuehl"/>
          <w:sz w:val="28"/>
          <w:szCs w:val="28"/>
          <w:rtl/>
        </w:rPr>
      </w:pPr>
    </w:p>
    <w:p w:rsidR="00D37296" w:rsidRPr="003852A3" w:rsidRDefault="00402EAB" w:rsidP="00D37296">
      <w:pPr>
        <w:spacing w:line="360" w:lineRule="auto"/>
        <w:jc w:val="both"/>
        <w:rPr>
          <w:rFonts w:ascii="FrankRuehl" w:hAnsi="FrankRuehl" w:cs="FrankRuehl"/>
          <w:sz w:val="28"/>
          <w:szCs w:val="28"/>
          <w:rtl/>
        </w:rPr>
      </w:pPr>
      <w:r>
        <w:rPr>
          <w:rFonts w:ascii="FrankRuehl" w:hAnsi="FrankRuehl" w:cs="FrankRuehl" w:hint="cs"/>
          <w:sz w:val="28"/>
          <w:szCs w:val="28"/>
          <w:rtl/>
        </w:rPr>
        <w:t>44</w:t>
      </w:r>
      <w:r w:rsidR="00B01051">
        <w:rPr>
          <w:rFonts w:ascii="FrankRuehl" w:hAnsi="FrankRuehl" w:cs="FrankRuehl" w:hint="cs"/>
          <w:sz w:val="28"/>
          <w:szCs w:val="28"/>
          <w:rtl/>
        </w:rPr>
        <w:t>.</w:t>
      </w:r>
      <w:r w:rsidR="00B01051">
        <w:rPr>
          <w:rFonts w:ascii="FrankRuehl" w:hAnsi="FrankRuehl" w:cs="FrankRuehl" w:hint="cs"/>
          <w:sz w:val="28"/>
          <w:szCs w:val="28"/>
          <w:rtl/>
        </w:rPr>
        <w:tab/>
      </w:r>
      <w:r w:rsidR="00D37296" w:rsidRPr="003852A3">
        <w:rPr>
          <w:rFonts w:ascii="FrankRuehl" w:hAnsi="FrankRuehl" w:cs="FrankRuehl" w:hint="cs"/>
          <w:sz w:val="28"/>
          <w:szCs w:val="28"/>
          <w:rtl/>
        </w:rPr>
        <w:t>ביחס לאישום השמיני נטען, כי אין מדובר בכ</w:t>
      </w:r>
      <w:r w:rsidR="007B15EA" w:rsidRPr="003852A3">
        <w:rPr>
          <w:rFonts w:ascii="FrankRuehl" w:hAnsi="FrankRuehl" w:cs="FrankRuehl" w:hint="cs"/>
          <w:sz w:val="28"/>
          <w:szCs w:val="28"/>
          <w:rtl/>
        </w:rPr>
        <w:t>ניסה חד פעמית למאגר של רשות האוכלוסין וההגירה</w:t>
      </w:r>
      <w:r w:rsidR="00D37296" w:rsidRPr="003852A3">
        <w:rPr>
          <w:rFonts w:ascii="FrankRuehl" w:hAnsi="FrankRuehl" w:cs="FrankRuehl" w:hint="cs"/>
          <w:sz w:val="28"/>
          <w:szCs w:val="28"/>
          <w:rtl/>
        </w:rPr>
        <w:t xml:space="preserve">, וכי בכל </w:t>
      </w:r>
      <w:r w:rsidR="007B15EA" w:rsidRPr="003852A3">
        <w:rPr>
          <w:rFonts w:ascii="FrankRuehl" w:hAnsi="FrankRuehl" w:cs="FrankRuehl" w:hint="cs"/>
          <w:sz w:val="28"/>
          <w:szCs w:val="28"/>
          <w:rtl/>
        </w:rPr>
        <w:t xml:space="preserve">אחד מהאישומים </w:t>
      </w:r>
      <w:r w:rsidR="00D37296" w:rsidRPr="003852A3">
        <w:rPr>
          <w:rFonts w:ascii="FrankRuehl" w:hAnsi="FrankRuehl" w:cs="FrankRuehl" w:hint="cs"/>
          <w:sz w:val="28"/>
          <w:szCs w:val="28"/>
          <w:rtl/>
        </w:rPr>
        <w:t xml:space="preserve">בהם הורשע הנאשם, עלה כי הוא </w:t>
      </w:r>
      <w:r w:rsidR="007B15EA" w:rsidRPr="003852A3">
        <w:rPr>
          <w:rFonts w:ascii="FrankRuehl" w:hAnsi="FrankRuehl" w:cs="FrankRuehl" w:hint="cs"/>
          <w:sz w:val="28"/>
          <w:szCs w:val="28"/>
          <w:rtl/>
        </w:rPr>
        <w:t>נהג להיכנס</w:t>
      </w:r>
      <w:r w:rsidR="00D37296" w:rsidRPr="003852A3">
        <w:rPr>
          <w:rFonts w:ascii="FrankRuehl" w:hAnsi="FrankRuehl" w:cs="FrankRuehl" w:hint="cs"/>
          <w:sz w:val="28"/>
          <w:szCs w:val="28"/>
          <w:rtl/>
        </w:rPr>
        <w:t>,</w:t>
      </w:r>
      <w:r w:rsidR="007B15EA" w:rsidRPr="003852A3">
        <w:rPr>
          <w:rFonts w:ascii="FrankRuehl" w:hAnsi="FrankRuehl" w:cs="FrankRuehl" w:hint="cs"/>
          <w:sz w:val="28"/>
          <w:szCs w:val="28"/>
          <w:rtl/>
        </w:rPr>
        <w:t xml:space="preserve"> כדבר בשגרה</w:t>
      </w:r>
      <w:r w:rsidR="00D37296" w:rsidRPr="003852A3">
        <w:rPr>
          <w:rFonts w:ascii="FrankRuehl" w:hAnsi="FrankRuehl" w:cs="FrankRuehl" w:hint="cs"/>
          <w:sz w:val="28"/>
          <w:szCs w:val="28"/>
          <w:rtl/>
        </w:rPr>
        <w:t>,</w:t>
      </w:r>
      <w:r w:rsidR="007B15EA" w:rsidRPr="003852A3">
        <w:rPr>
          <w:rFonts w:ascii="FrankRuehl" w:hAnsi="FrankRuehl" w:cs="FrankRuehl" w:hint="cs"/>
          <w:sz w:val="28"/>
          <w:szCs w:val="28"/>
          <w:rtl/>
        </w:rPr>
        <w:t xml:space="preserve"> לתוך המאגרים של רשות האוכלוסין. </w:t>
      </w:r>
    </w:p>
    <w:p w:rsidR="00D37296" w:rsidRPr="003852A3" w:rsidRDefault="00D37296" w:rsidP="00D37296">
      <w:pPr>
        <w:spacing w:line="360" w:lineRule="auto"/>
        <w:jc w:val="both"/>
        <w:rPr>
          <w:rFonts w:ascii="FrankRuehl" w:hAnsi="FrankRuehl" w:cs="FrankRuehl"/>
          <w:sz w:val="28"/>
          <w:szCs w:val="28"/>
          <w:rtl/>
        </w:rPr>
      </w:pPr>
    </w:p>
    <w:p w:rsidR="003852A3" w:rsidRDefault="00402EAB" w:rsidP="003852A3">
      <w:pPr>
        <w:spacing w:line="360" w:lineRule="auto"/>
        <w:jc w:val="both"/>
        <w:rPr>
          <w:rFonts w:ascii="FrankRuehl" w:hAnsi="FrankRuehl" w:cs="FrankRuehl"/>
          <w:sz w:val="28"/>
          <w:szCs w:val="28"/>
          <w:rtl/>
        </w:rPr>
      </w:pPr>
      <w:r>
        <w:rPr>
          <w:rFonts w:ascii="FrankRuehl" w:hAnsi="FrankRuehl" w:cs="FrankRuehl" w:hint="cs"/>
          <w:sz w:val="28"/>
          <w:szCs w:val="28"/>
          <w:rtl/>
        </w:rPr>
        <w:t>45</w:t>
      </w:r>
      <w:r w:rsidR="00B01051">
        <w:rPr>
          <w:rFonts w:ascii="FrankRuehl" w:hAnsi="FrankRuehl" w:cs="FrankRuehl" w:hint="cs"/>
          <w:sz w:val="28"/>
          <w:szCs w:val="28"/>
          <w:rtl/>
        </w:rPr>
        <w:t>.</w:t>
      </w:r>
      <w:r w:rsidR="00B01051">
        <w:rPr>
          <w:rFonts w:ascii="FrankRuehl" w:hAnsi="FrankRuehl" w:cs="FrankRuehl" w:hint="cs"/>
          <w:sz w:val="28"/>
          <w:szCs w:val="28"/>
          <w:rtl/>
        </w:rPr>
        <w:tab/>
      </w:r>
      <w:r w:rsidR="00D37296" w:rsidRPr="003852A3">
        <w:rPr>
          <w:rFonts w:ascii="FrankRuehl" w:hAnsi="FrankRuehl" w:cs="FrankRuehl" w:hint="cs"/>
          <w:sz w:val="28"/>
          <w:szCs w:val="28"/>
          <w:rtl/>
        </w:rPr>
        <w:t>באשר ל</w:t>
      </w:r>
      <w:r w:rsidR="007B15EA" w:rsidRPr="003852A3">
        <w:rPr>
          <w:rFonts w:ascii="FrankRuehl" w:hAnsi="FrankRuehl" w:cs="FrankRuehl" w:hint="cs"/>
          <w:sz w:val="28"/>
          <w:szCs w:val="28"/>
          <w:rtl/>
        </w:rPr>
        <w:t>נסיבות שאינן קשורות לביצוע העבירות,</w:t>
      </w:r>
      <w:r w:rsidR="00D37296" w:rsidRPr="003852A3">
        <w:rPr>
          <w:rFonts w:ascii="FrankRuehl" w:hAnsi="FrankRuehl" w:cs="FrankRuehl" w:hint="cs"/>
          <w:sz w:val="28"/>
          <w:szCs w:val="28"/>
          <w:rtl/>
        </w:rPr>
        <w:t xml:space="preserve"> ציין ב"כ המאשימה כי</w:t>
      </w:r>
      <w:r w:rsidR="007B15EA" w:rsidRPr="003852A3">
        <w:rPr>
          <w:rFonts w:ascii="FrankRuehl" w:hAnsi="FrankRuehl" w:cs="FrankRuehl" w:hint="cs"/>
          <w:sz w:val="28"/>
          <w:szCs w:val="28"/>
          <w:rtl/>
        </w:rPr>
        <w:t xml:space="preserve"> הנאשם </w:t>
      </w:r>
      <w:r w:rsidR="00D37296" w:rsidRPr="003852A3">
        <w:rPr>
          <w:rFonts w:ascii="FrankRuehl" w:hAnsi="FrankRuehl" w:cs="FrankRuehl" w:hint="cs"/>
          <w:sz w:val="28"/>
          <w:szCs w:val="28"/>
          <w:rtl/>
        </w:rPr>
        <w:t xml:space="preserve">אמנם </w:t>
      </w:r>
      <w:r w:rsidR="007B15EA" w:rsidRPr="003852A3">
        <w:rPr>
          <w:rFonts w:ascii="FrankRuehl" w:hAnsi="FrankRuehl" w:cs="FrankRuehl" w:hint="cs"/>
          <w:sz w:val="28"/>
          <w:szCs w:val="28"/>
          <w:rtl/>
        </w:rPr>
        <w:t xml:space="preserve">נעדר עבר פלילי, </w:t>
      </w:r>
      <w:r w:rsidR="00D37296" w:rsidRPr="003852A3">
        <w:rPr>
          <w:rFonts w:ascii="FrankRuehl" w:hAnsi="FrankRuehl" w:cs="FrankRuehl" w:hint="cs"/>
          <w:sz w:val="28"/>
          <w:szCs w:val="28"/>
          <w:rtl/>
        </w:rPr>
        <w:t xml:space="preserve">אך נוכח </w:t>
      </w:r>
      <w:r w:rsidR="00496264" w:rsidRPr="003852A3">
        <w:rPr>
          <w:rFonts w:ascii="FrankRuehl" w:hAnsi="FrankRuehl" w:cs="FrankRuehl" w:hint="cs"/>
          <w:sz w:val="28"/>
          <w:szCs w:val="28"/>
          <w:rtl/>
        </w:rPr>
        <w:t>העובדה כי מדובר במספר מקרים ו</w:t>
      </w:r>
      <w:r w:rsidR="007B15EA" w:rsidRPr="003852A3">
        <w:rPr>
          <w:rFonts w:ascii="FrankRuehl" w:hAnsi="FrankRuehl" w:cs="FrankRuehl" w:hint="cs"/>
          <w:sz w:val="28"/>
          <w:szCs w:val="28"/>
          <w:rtl/>
        </w:rPr>
        <w:t xml:space="preserve">דפוס </w:t>
      </w:r>
      <w:r w:rsidR="00D37296" w:rsidRPr="003852A3">
        <w:rPr>
          <w:rFonts w:ascii="FrankRuehl" w:hAnsi="FrankRuehl" w:cs="FrankRuehl" w:hint="cs"/>
          <w:sz w:val="28"/>
          <w:szCs w:val="28"/>
          <w:rtl/>
        </w:rPr>
        <w:t>ה</w:t>
      </w:r>
      <w:r w:rsidR="007B15EA" w:rsidRPr="003852A3">
        <w:rPr>
          <w:rFonts w:ascii="FrankRuehl" w:hAnsi="FrankRuehl" w:cs="FrankRuehl" w:hint="cs"/>
          <w:sz w:val="28"/>
          <w:szCs w:val="28"/>
          <w:rtl/>
        </w:rPr>
        <w:t xml:space="preserve">פעולה </w:t>
      </w:r>
      <w:r w:rsidR="00D37296" w:rsidRPr="003852A3">
        <w:rPr>
          <w:rFonts w:ascii="FrankRuehl" w:hAnsi="FrankRuehl" w:cs="FrankRuehl" w:hint="cs"/>
          <w:sz w:val="28"/>
          <w:szCs w:val="28"/>
          <w:rtl/>
        </w:rPr>
        <w:t xml:space="preserve">בו נקט, כשהוא מצליח </w:t>
      </w:r>
      <w:r w:rsidR="007B15EA" w:rsidRPr="003852A3">
        <w:rPr>
          <w:rFonts w:ascii="FrankRuehl" w:hAnsi="FrankRuehl" w:cs="FrankRuehl" w:hint="cs"/>
          <w:sz w:val="28"/>
          <w:szCs w:val="28"/>
          <w:rtl/>
        </w:rPr>
        <w:t xml:space="preserve">לאורך </w:t>
      </w:r>
      <w:r w:rsidR="00D37296" w:rsidRPr="003852A3">
        <w:rPr>
          <w:rFonts w:ascii="FrankRuehl" w:hAnsi="FrankRuehl" w:cs="FrankRuehl" w:hint="cs"/>
          <w:sz w:val="28"/>
          <w:szCs w:val="28"/>
          <w:rtl/>
        </w:rPr>
        <w:t xml:space="preserve">זמן </w:t>
      </w:r>
      <w:r w:rsidR="007B15EA" w:rsidRPr="003852A3">
        <w:rPr>
          <w:rFonts w:ascii="FrankRuehl" w:hAnsi="FrankRuehl" w:cs="FrankRuehl" w:hint="cs"/>
          <w:sz w:val="28"/>
          <w:szCs w:val="28"/>
          <w:rtl/>
        </w:rPr>
        <w:t>להסתיר מהקרובים אליו ביותר את הפן העברייני שבאישיותו</w:t>
      </w:r>
      <w:r w:rsidR="00D37296" w:rsidRPr="003852A3">
        <w:rPr>
          <w:rFonts w:ascii="FrankRuehl" w:hAnsi="FrankRuehl" w:cs="FrankRuehl" w:hint="cs"/>
          <w:sz w:val="28"/>
          <w:szCs w:val="28"/>
          <w:rtl/>
        </w:rPr>
        <w:t xml:space="preserve">, </w:t>
      </w:r>
      <w:r w:rsidR="00496264" w:rsidRPr="003852A3">
        <w:rPr>
          <w:rFonts w:ascii="FrankRuehl" w:hAnsi="FrankRuehl" w:cs="FrankRuehl" w:hint="cs"/>
          <w:sz w:val="28"/>
          <w:szCs w:val="28"/>
          <w:rtl/>
        </w:rPr>
        <w:t xml:space="preserve">יש לתת משקל נמוך לעובדה זו. </w:t>
      </w:r>
      <w:r w:rsidR="003852A3">
        <w:rPr>
          <w:rFonts w:ascii="FrankRuehl" w:hAnsi="FrankRuehl" w:cs="FrankRuehl" w:hint="cs"/>
          <w:sz w:val="28"/>
          <w:szCs w:val="28"/>
          <w:rtl/>
        </w:rPr>
        <w:t xml:space="preserve">לזכותו יש </w:t>
      </w:r>
      <w:r w:rsidR="00D37296" w:rsidRPr="003852A3">
        <w:rPr>
          <w:rFonts w:ascii="FrankRuehl" w:hAnsi="FrankRuehl" w:cs="FrankRuehl" w:hint="cs"/>
          <w:sz w:val="28"/>
          <w:szCs w:val="28"/>
          <w:rtl/>
        </w:rPr>
        <w:t>ל</w:t>
      </w:r>
      <w:r w:rsidR="007B15EA" w:rsidRPr="003852A3">
        <w:rPr>
          <w:rFonts w:ascii="FrankRuehl" w:hAnsi="FrankRuehl" w:cs="FrankRuehl" w:hint="cs"/>
          <w:sz w:val="28"/>
          <w:szCs w:val="28"/>
          <w:rtl/>
        </w:rPr>
        <w:t>זקוף את הדברים הטובים שעשה ב</w:t>
      </w:r>
      <w:r w:rsidR="00D37296" w:rsidRPr="003852A3">
        <w:rPr>
          <w:rFonts w:ascii="FrankRuehl" w:hAnsi="FrankRuehl" w:cs="FrankRuehl" w:hint="cs"/>
          <w:sz w:val="28"/>
          <w:szCs w:val="28"/>
          <w:rtl/>
        </w:rPr>
        <w:t xml:space="preserve">מסגרת עבודתו בשירות </w:t>
      </w:r>
      <w:r w:rsidR="007B15EA" w:rsidRPr="003852A3">
        <w:rPr>
          <w:rFonts w:ascii="FrankRuehl" w:hAnsi="FrankRuehl" w:cs="FrankRuehl" w:hint="cs"/>
          <w:sz w:val="28"/>
          <w:szCs w:val="28"/>
          <w:rtl/>
        </w:rPr>
        <w:t>המדינה</w:t>
      </w:r>
      <w:r w:rsidR="00D37296" w:rsidRPr="003852A3">
        <w:rPr>
          <w:rFonts w:ascii="FrankRuehl" w:hAnsi="FrankRuehl" w:cs="FrankRuehl" w:hint="cs"/>
          <w:sz w:val="28"/>
          <w:szCs w:val="28"/>
          <w:rtl/>
        </w:rPr>
        <w:t>,</w:t>
      </w:r>
      <w:r w:rsidR="003852A3">
        <w:rPr>
          <w:rFonts w:ascii="FrankRuehl" w:hAnsi="FrankRuehl" w:cs="FrankRuehl" w:hint="cs"/>
          <w:sz w:val="28"/>
          <w:szCs w:val="28"/>
          <w:rtl/>
        </w:rPr>
        <w:t xml:space="preserve"> אך </w:t>
      </w:r>
      <w:r w:rsidR="00D37296" w:rsidRPr="003852A3">
        <w:rPr>
          <w:rFonts w:ascii="FrankRuehl" w:hAnsi="FrankRuehl" w:cs="FrankRuehl" w:hint="cs"/>
          <w:sz w:val="28"/>
          <w:szCs w:val="28"/>
          <w:rtl/>
        </w:rPr>
        <w:t xml:space="preserve">לצד זאת, </w:t>
      </w:r>
      <w:r w:rsidR="007B15EA" w:rsidRPr="003852A3">
        <w:rPr>
          <w:rFonts w:ascii="FrankRuehl" w:hAnsi="FrankRuehl" w:cs="FrankRuehl" w:hint="cs"/>
          <w:sz w:val="28"/>
          <w:szCs w:val="28"/>
          <w:rtl/>
        </w:rPr>
        <w:t>הנאשם לא שיתף פעולה ולא נטל אחריות על מעשיו בשום שלב</w:t>
      </w:r>
      <w:r w:rsidR="00D37296" w:rsidRPr="003852A3">
        <w:rPr>
          <w:rFonts w:ascii="FrankRuehl" w:hAnsi="FrankRuehl" w:cs="FrankRuehl" w:hint="cs"/>
          <w:sz w:val="28"/>
          <w:szCs w:val="28"/>
          <w:rtl/>
        </w:rPr>
        <w:t xml:space="preserve"> משלבי ההליך הפלילי. </w:t>
      </w:r>
    </w:p>
    <w:p w:rsidR="003852A3" w:rsidRDefault="003852A3" w:rsidP="003852A3">
      <w:pPr>
        <w:spacing w:line="360" w:lineRule="auto"/>
        <w:jc w:val="both"/>
        <w:rPr>
          <w:rFonts w:ascii="FrankRuehl" w:hAnsi="FrankRuehl" w:cs="FrankRuehl"/>
          <w:sz w:val="28"/>
          <w:szCs w:val="28"/>
          <w:rtl/>
        </w:rPr>
      </w:pPr>
    </w:p>
    <w:p w:rsidR="00D37296" w:rsidRPr="003852A3" w:rsidRDefault="00402EAB" w:rsidP="003852A3">
      <w:pPr>
        <w:spacing w:line="360" w:lineRule="auto"/>
        <w:jc w:val="both"/>
        <w:rPr>
          <w:rFonts w:ascii="FrankRuehl" w:hAnsi="FrankRuehl" w:cs="FrankRuehl"/>
          <w:sz w:val="28"/>
          <w:szCs w:val="28"/>
          <w:rtl/>
        </w:rPr>
      </w:pPr>
      <w:r>
        <w:rPr>
          <w:rFonts w:ascii="FrankRuehl" w:hAnsi="FrankRuehl" w:cs="FrankRuehl" w:hint="cs"/>
          <w:sz w:val="28"/>
          <w:szCs w:val="28"/>
          <w:rtl/>
        </w:rPr>
        <w:t>46</w:t>
      </w:r>
      <w:r w:rsidR="00B01051">
        <w:rPr>
          <w:rFonts w:ascii="FrankRuehl" w:hAnsi="FrankRuehl" w:cs="FrankRuehl" w:hint="cs"/>
          <w:sz w:val="28"/>
          <w:szCs w:val="28"/>
          <w:rtl/>
        </w:rPr>
        <w:t>.</w:t>
      </w:r>
      <w:r w:rsidR="00B01051">
        <w:rPr>
          <w:rFonts w:ascii="FrankRuehl" w:hAnsi="FrankRuehl" w:cs="FrankRuehl" w:hint="cs"/>
          <w:sz w:val="28"/>
          <w:szCs w:val="28"/>
          <w:rtl/>
        </w:rPr>
        <w:tab/>
      </w:r>
      <w:r w:rsidR="00D37296" w:rsidRPr="003852A3">
        <w:rPr>
          <w:rFonts w:ascii="FrankRuehl" w:hAnsi="FrankRuehl" w:cs="FrankRuehl" w:hint="cs"/>
          <w:sz w:val="28"/>
          <w:szCs w:val="28"/>
          <w:rtl/>
        </w:rPr>
        <w:t>חומרה יתרה ראה ב"כ המאשימה בעובדה שכחלק מהגנתו לא בחל הנאשם בדרך של השמצת קהילה שלמה בטוענו כי סגנון הדברים בינו לבי</w:t>
      </w:r>
      <w:r w:rsidR="00496264" w:rsidRPr="003852A3">
        <w:rPr>
          <w:rFonts w:ascii="FrankRuehl" w:hAnsi="FrankRuehl" w:cs="FrankRuehl" w:hint="cs"/>
          <w:sz w:val="28"/>
          <w:szCs w:val="28"/>
          <w:rtl/>
        </w:rPr>
        <w:t xml:space="preserve">ן אותן נשים, הוא נורמה מקובלת בשיח בעדה האתיופית., אך כדי להיחלץ מן הדין. </w:t>
      </w:r>
    </w:p>
    <w:p w:rsidR="00D37296" w:rsidRPr="003852A3" w:rsidRDefault="00D37296" w:rsidP="00D37296">
      <w:pPr>
        <w:spacing w:line="360" w:lineRule="auto"/>
        <w:jc w:val="both"/>
        <w:rPr>
          <w:rFonts w:ascii="FrankRuehl" w:hAnsi="FrankRuehl" w:cs="FrankRuehl"/>
          <w:sz w:val="28"/>
          <w:szCs w:val="28"/>
          <w:rtl/>
        </w:rPr>
      </w:pPr>
    </w:p>
    <w:p w:rsidR="00496264" w:rsidRPr="003852A3" w:rsidRDefault="00402EAB" w:rsidP="003852A3">
      <w:pPr>
        <w:spacing w:line="360" w:lineRule="auto"/>
        <w:jc w:val="both"/>
        <w:rPr>
          <w:rFonts w:ascii="FrankRuehl" w:hAnsi="FrankRuehl" w:cs="FrankRuehl"/>
          <w:sz w:val="28"/>
          <w:szCs w:val="28"/>
          <w:rtl/>
        </w:rPr>
      </w:pPr>
      <w:r>
        <w:rPr>
          <w:rFonts w:ascii="FrankRuehl" w:hAnsi="FrankRuehl" w:cs="FrankRuehl" w:hint="cs"/>
          <w:sz w:val="28"/>
          <w:szCs w:val="28"/>
          <w:rtl/>
        </w:rPr>
        <w:t>47</w:t>
      </w:r>
      <w:r w:rsidR="00B01051">
        <w:rPr>
          <w:rFonts w:ascii="FrankRuehl" w:hAnsi="FrankRuehl" w:cs="FrankRuehl" w:hint="cs"/>
          <w:sz w:val="28"/>
          <w:szCs w:val="28"/>
          <w:rtl/>
        </w:rPr>
        <w:t>.</w:t>
      </w:r>
      <w:r w:rsidR="00B01051">
        <w:rPr>
          <w:rFonts w:ascii="FrankRuehl" w:hAnsi="FrankRuehl" w:cs="FrankRuehl" w:hint="cs"/>
          <w:sz w:val="28"/>
          <w:szCs w:val="28"/>
          <w:rtl/>
        </w:rPr>
        <w:tab/>
      </w:r>
      <w:r w:rsidR="00496264" w:rsidRPr="003852A3">
        <w:rPr>
          <w:rFonts w:ascii="FrankRuehl" w:hAnsi="FrankRuehl" w:cs="FrankRuehl" w:hint="cs"/>
          <w:sz w:val="28"/>
          <w:szCs w:val="28"/>
          <w:rtl/>
        </w:rPr>
        <w:t>עוד טען ב"כ המאשימה</w:t>
      </w:r>
      <w:r w:rsidR="00B01051">
        <w:rPr>
          <w:rFonts w:ascii="FrankRuehl" w:hAnsi="FrankRuehl" w:cs="FrankRuehl" w:hint="cs"/>
          <w:sz w:val="28"/>
          <w:szCs w:val="28"/>
          <w:rtl/>
        </w:rPr>
        <w:t>,</w:t>
      </w:r>
      <w:r w:rsidR="00496264" w:rsidRPr="003852A3">
        <w:rPr>
          <w:rFonts w:ascii="FrankRuehl" w:hAnsi="FrankRuehl" w:cs="FrankRuehl" w:hint="cs"/>
          <w:sz w:val="28"/>
          <w:szCs w:val="28"/>
          <w:rtl/>
        </w:rPr>
        <w:t xml:space="preserve"> לחשיבות של ממד הרתעת הרבים בעבירות שוחד</w:t>
      </w:r>
      <w:r w:rsidR="003852A3" w:rsidRPr="003852A3">
        <w:rPr>
          <w:rFonts w:ascii="FrankRuehl" w:hAnsi="FrankRuehl" w:cs="FrankRuehl" w:hint="cs"/>
          <w:sz w:val="28"/>
          <w:szCs w:val="28"/>
          <w:rtl/>
        </w:rPr>
        <w:t>, כשהוא תומך את כל</w:t>
      </w:r>
      <w:r w:rsidR="003852A3">
        <w:rPr>
          <w:rFonts w:ascii="FrankRuehl" w:hAnsi="FrankRuehl" w:cs="FrankRuehl" w:hint="cs"/>
          <w:sz w:val="28"/>
          <w:szCs w:val="28"/>
          <w:rtl/>
        </w:rPr>
        <w:t>ל טענותיו בפסיקה, וב</w:t>
      </w:r>
      <w:r w:rsidR="00496264" w:rsidRPr="003852A3">
        <w:rPr>
          <w:rFonts w:ascii="FrankRuehl" w:hAnsi="FrankRuehl" w:cs="FrankRuehl" w:hint="cs"/>
          <w:sz w:val="28"/>
          <w:szCs w:val="28"/>
          <w:rtl/>
        </w:rPr>
        <w:t xml:space="preserve">התייחס לשיהוי </w:t>
      </w:r>
      <w:r w:rsidR="007B15EA" w:rsidRPr="003852A3">
        <w:rPr>
          <w:rFonts w:ascii="FrankRuehl" w:hAnsi="FrankRuehl" w:cs="FrankRuehl" w:hint="cs"/>
          <w:sz w:val="28"/>
          <w:szCs w:val="28"/>
          <w:rtl/>
        </w:rPr>
        <w:t xml:space="preserve">בהגשת כתב האישום, </w:t>
      </w:r>
      <w:r w:rsidR="00496264" w:rsidRPr="003852A3">
        <w:rPr>
          <w:rFonts w:ascii="FrankRuehl" w:hAnsi="FrankRuehl" w:cs="FrankRuehl" w:hint="cs"/>
          <w:sz w:val="28"/>
          <w:szCs w:val="28"/>
          <w:rtl/>
        </w:rPr>
        <w:t xml:space="preserve">נטען כי אין מדובר </w:t>
      </w:r>
      <w:r w:rsidR="007B15EA" w:rsidRPr="003852A3">
        <w:rPr>
          <w:rFonts w:ascii="FrankRuehl" w:hAnsi="FrankRuehl" w:cs="FrankRuehl" w:hint="cs"/>
          <w:sz w:val="28"/>
          <w:szCs w:val="28"/>
          <w:rtl/>
        </w:rPr>
        <w:t>בשיהוי משמעותי</w:t>
      </w:r>
      <w:r w:rsidR="00496264" w:rsidRPr="003852A3">
        <w:rPr>
          <w:rFonts w:ascii="FrankRuehl" w:hAnsi="FrankRuehl" w:cs="FrankRuehl" w:hint="cs"/>
          <w:sz w:val="28"/>
          <w:szCs w:val="28"/>
          <w:rtl/>
        </w:rPr>
        <w:t xml:space="preserve">, ובוודאי שאין לתת לו משקל משמעותי בשים לב לחומרת מעשיו של הנאשם. </w:t>
      </w:r>
    </w:p>
    <w:p w:rsidR="00496264" w:rsidRPr="003852A3" w:rsidRDefault="00496264" w:rsidP="00496264">
      <w:pPr>
        <w:spacing w:line="360" w:lineRule="auto"/>
        <w:jc w:val="both"/>
        <w:rPr>
          <w:rFonts w:ascii="FrankRuehl" w:hAnsi="FrankRuehl" w:cs="FrankRuehl"/>
          <w:sz w:val="28"/>
          <w:szCs w:val="28"/>
          <w:rtl/>
        </w:rPr>
      </w:pPr>
    </w:p>
    <w:p w:rsidR="003852A3" w:rsidRPr="003852A3" w:rsidRDefault="00402EAB" w:rsidP="001D0CEC">
      <w:pPr>
        <w:spacing w:line="360" w:lineRule="auto"/>
        <w:jc w:val="both"/>
        <w:rPr>
          <w:rFonts w:ascii="FrankRuehl" w:hAnsi="FrankRuehl" w:cs="FrankRuehl"/>
          <w:sz w:val="28"/>
          <w:szCs w:val="28"/>
          <w:rtl/>
        </w:rPr>
      </w:pPr>
      <w:r>
        <w:rPr>
          <w:rFonts w:ascii="FrankRuehl" w:hAnsi="FrankRuehl" w:cs="FrankRuehl" w:hint="cs"/>
          <w:sz w:val="28"/>
          <w:szCs w:val="28"/>
          <w:rtl/>
        </w:rPr>
        <w:t>48</w:t>
      </w:r>
      <w:r w:rsidR="00B01051">
        <w:rPr>
          <w:rFonts w:ascii="FrankRuehl" w:hAnsi="FrankRuehl" w:cs="FrankRuehl" w:hint="cs"/>
          <w:sz w:val="28"/>
          <w:szCs w:val="28"/>
          <w:rtl/>
        </w:rPr>
        <w:t>.</w:t>
      </w:r>
      <w:r w:rsidR="00B01051">
        <w:rPr>
          <w:rFonts w:ascii="FrankRuehl" w:hAnsi="FrankRuehl" w:cs="FrankRuehl" w:hint="cs"/>
          <w:sz w:val="28"/>
          <w:szCs w:val="28"/>
          <w:rtl/>
        </w:rPr>
        <w:tab/>
      </w:r>
      <w:r w:rsidR="00496264" w:rsidRPr="003852A3">
        <w:rPr>
          <w:rFonts w:ascii="FrankRuehl" w:hAnsi="FrankRuehl" w:cs="FrankRuehl" w:hint="cs"/>
          <w:sz w:val="28"/>
          <w:szCs w:val="28"/>
          <w:rtl/>
        </w:rPr>
        <w:t>בשים לב לאמור, טען ב"כ המאשימה כי נכון למ</w:t>
      </w:r>
      <w:r w:rsidR="003852A3">
        <w:rPr>
          <w:rFonts w:ascii="FrankRuehl" w:hAnsi="FrankRuehl" w:cs="FrankRuehl" w:hint="cs"/>
          <w:sz w:val="28"/>
          <w:szCs w:val="28"/>
          <w:rtl/>
        </w:rPr>
        <w:t>ק</w:t>
      </w:r>
      <w:r w:rsidR="00496264" w:rsidRPr="003852A3">
        <w:rPr>
          <w:rFonts w:ascii="FrankRuehl" w:hAnsi="FrankRuehl" w:cs="FrankRuehl" w:hint="cs"/>
          <w:sz w:val="28"/>
          <w:szCs w:val="28"/>
          <w:rtl/>
        </w:rPr>
        <w:t xml:space="preserve">ם את עונשו של הנאשם במחצית המתחם, ולאחר לקיחה בחשבון של מכלול הנסיבות, בכלל זה גם את עניין השיהוי במידה ראויה, יש להשית על הנאשם עונש מאסר לתקופה </w:t>
      </w:r>
      <w:r w:rsidR="007B15EA" w:rsidRPr="003852A3">
        <w:rPr>
          <w:rFonts w:ascii="FrankRuehl" w:hAnsi="FrankRuehl" w:cs="FrankRuehl" w:hint="cs"/>
          <w:sz w:val="28"/>
          <w:szCs w:val="28"/>
          <w:rtl/>
        </w:rPr>
        <w:t>של 48 חודשי</w:t>
      </w:r>
      <w:r w:rsidR="00496264" w:rsidRPr="003852A3">
        <w:rPr>
          <w:rFonts w:ascii="FrankRuehl" w:hAnsi="FrankRuehl" w:cs="FrankRuehl" w:hint="cs"/>
          <w:sz w:val="28"/>
          <w:szCs w:val="28"/>
          <w:rtl/>
        </w:rPr>
        <w:t xml:space="preserve">ם, </w:t>
      </w:r>
      <w:r w:rsidR="007B15EA" w:rsidRPr="003852A3">
        <w:rPr>
          <w:rFonts w:ascii="FrankRuehl" w:hAnsi="FrankRuehl" w:cs="FrankRuehl" w:hint="cs"/>
          <w:sz w:val="28"/>
          <w:szCs w:val="28"/>
          <w:rtl/>
        </w:rPr>
        <w:t>לצד מאסר מותנה וקנס</w:t>
      </w:r>
      <w:r w:rsidR="00496264" w:rsidRPr="003852A3">
        <w:rPr>
          <w:rFonts w:ascii="FrankRuehl" w:hAnsi="FrankRuehl" w:cs="FrankRuehl" w:hint="cs"/>
          <w:sz w:val="28"/>
          <w:szCs w:val="28"/>
          <w:rtl/>
        </w:rPr>
        <w:t xml:space="preserve"> משמעותי</w:t>
      </w:r>
      <w:r w:rsidR="007B15EA" w:rsidRPr="003852A3">
        <w:rPr>
          <w:rFonts w:ascii="FrankRuehl" w:hAnsi="FrankRuehl" w:cs="FrankRuehl" w:hint="cs"/>
          <w:sz w:val="28"/>
          <w:szCs w:val="28"/>
          <w:rtl/>
        </w:rPr>
        <w:t xml:space="preserve">. </w:t>
      </w:r>
      <w:r w:rsidR="00496264" w:rsidRPr="003852A3">
        <w:rPr>
          <w:rFonts w:ascii="FrankRuehl" w:hAnsi="FrankRuehl" w:cs="FrankRuehl" w:hint="cs"/>
          <w:sz w:val="28"/>
          <w:szCs w:val="28"/>
          <w:rtl/>
        </w:rPr>
        <w:t xml:space="preserve">הוא הוסיף, כי אמנם </w:t>
      </w:r>
      <w:r w:rsidR="003852A3" w:rsidRPr="003852A3">
        <w:rPr>
          <w:rFonts w:ascii="FrankRuehl" w:hAnsi="FrankRuehl" w:cs="FrankRuehl" w:hint="cs"/>
          <w:sz w:val="28"/>
          <w:szCs w:val="28"/>
          <w:rtl/>
        </w:rPr>
        <w:t>ה</w:t>
      </w:r>
      <w:r w:rsidR="007B15EA" w:rsidRPr="003852A3">
        <w:rPr>
          <w:rFonts w:ascii="FrankRuehl" w:hAnsi="FrankRuehl" w:cs="FrankRuehl" w:hint="cs"/>
          <w:sz w:val="28"/>
          <w:szCs w:val="28"/>
          <w:rtl/>
        </w:rPr>
        <w:t xml:space="preserve">נאשם </w:t>
      </w:r>
      <w:r w:rsidR="003852A3" w:rsidRPr="003852A3">
        <w:rPr>
          <w:rFonts w:ascii="FrankRuehl" w:hAnsi="FrankRuehl" w:cs="FrankRuehl" w:hint="cs"/>
          <w:sz w:val="28"/>
          <w:szCs w:val="28"/>
          <w:rtl/>
        </w:rPr>
        <w:t xml:space="preserve">הושעה מהשירות הציבורי לאורך כל ההליך, </w:t>
      </w:r>
      <w:r w:rsidR="007B15EA" w:rsidRPr="003852A3">
        <w:rPr>
          <w:rFonts w:ascii="FrankRuehl" w:hAnsi="FrankRuehl" w:cs="FrankRuehl" w:hint="cs"/>
          <w:sz w:val="28"/>
          <w:szCs w:val="28"/>
          <w:rtl/>
        </w:rPr>
        <w:t xml:space="preserve">אך </w:t>
      </w:r>
      <w:r w:rsidR="001D0CEC">
        <w:rPr>
          <w:rFonts w:ascii="FrankRuehl" w:hAnsi="FrankRuehl" w:cs="FrankRuehl" w:hint="cs"/>
          <w:sz w:val="28"/>
          <w:szCs w:val="28"/>
          <w:rtl/>
        </w:rPr>
        <w:t>המשיך ל</w:t>
      </w:r>
      <w:r w:rsidR="007B15EA" w:rsidRPr="003852A3">
        <w:rPr>
          <w:rFonts w:ascii="FrankRuehl" w:hAnsi="FrankRuehl" w:cs="FrankRuehl" w:hint="cs"/>
          <w:sz w:val="28"/>
          <w:szCs w:val="28"/>
          <w:rtl/>
        </w:rPr>
        <w:t>קבל משכורת</w:t>
      </w:r>
      <w:r w:rsidR="003852A3" w:rsidRPr="003852A3">
        <w:rPr>
          <w:rFonts w:ascii="FrankRuehl" w:hAnsi="FrankRuehl" w:cs="FrankRuehl" w:hint="cs"/>
          <w:sz w:val="28"/>
          <w:szCs w:val="28"/>
          <w:rtl/>
        </w:rPr>
        <w:t xml:space="preserve"> מהמדינה</w:t>
      </w:r>
      <w:r w:rsidR="007B15EA" w:rsidRPr="003852A3">
        <w:rPr>
          <w:rFonts w:ascii="FrankRuehl" w:hAnsi="FrankRuehl" w:cs="FrankRuehl" w:hint="cs"/>
          <w:sz w:val="28"/>
          <w:szCs w:val="28"/>
          <w:rtl/>
        </w:rPr>
        <w:t xml:space="preserve">. </w:t>
      </w:r>
    </w:p>
    <w:p w:rsidR="003852A3" w:rsidRPr="003852A3" w:rsidRDefault="003852A3" w:rsidP="003852A3">
      <w:pPr>
        <w:spacing w:line="360" w:lineRule="auto"/>
        <w:jc w:val="both"/>
        <w:rPr>
          <w:rFonts w:ascii="FrankRuehl" w:hAnsi="FrankRuehl" w:cs="FrankRuehl"/>
          <w:sz w:val="28"/>
          <w:szCs w:val="28"/>
          <w:rtl/>
        </w:rPr>
      </w:pPr>
    </w:p>
    <w:p w:rsidR="00B01051" w:rsidRDefault="00B01051" w:rsidP="00F61229">
      <w:pPr>
        <w:spacing w:line="360" w:lineRule="auto"/>
        <w:jc w:val="both"/>
        <w:rPr>
          <w:rFonts w:ascii="FrankRuehl" w:hAnsi="FrankRuehl" w:cs="FrankRuehl"/>
          <w:sz w:val="28"/>
          <w:szCs w:val="28"/>
          <w:rtl/>
        </w:rPr>
      </w:pPr>
    </w:p>
    <w:p w:rsidR="00AD524B" w:rsidRDefault="00B01051" w:rsidP="001D0CEC">
      <w:pPr>
        <w:spacing w:line="360" w:lineRule="auto"/>
        <w:jc w:val="both"/>
        <w:rPr>
          <w:rFonts w:ascii="FrankRuehl" w:hAnsi="FrankRuehl" w:cs="FrankRuehl"/>
          <w:sz w:val="28"/>
          <w:szCs w:val="28"/>
          <w:rtl/>
        </w:rPr>
      </w:pPr>
      <w:r>
        <w:rPr>
          <w:rFonts w:ascii="FrankRuehl" w:hAnsi="FrankRuehl" w:cs="FrankRuehl" w:hint="cs"/>
          <w:sz w:val="28"/>
          <w:szCs w:val="28"/>
          <w:rtl/>
        </w:rPr>
        <w:t>4</w:t>
      </w:r>
      <w:r w:rsidR="00402EAB">
        <w:rPr>
          <w:rFonts w:ascii="FrankRuehl" w:hAnsi="FrankRuehl" w:cs="FrankRuehl" w:hint="cs"/>
          <w:sz w:val="28"/>
          <w:szCs w:val="28"/>
          <w:rtl/>
        </w:rPr>
        <w:t>9</w:t>
      </w:r>
      <w:r>
        <w:rPr>
          <w:rFonts w:ascii="FrankRuehl" w:hAnsi="FrankRuehl" w:cs="FrankRuehl" w:hint="cs"/>
          <w:sz w:val="28"/>
          <w:szCs w:val="28"/>
          <w:rtl/>
        </w:rPr>
        <w:t>.</w:t>
      </w:r>
      <w:r>
        <w:rPr>
          <w:rFonts w:ascii="FrankRuehl" w:hAnsi="FrankRuehl" w:cs="FrankRuehl" w:hint="cs"/>
          <w:sz w:val="28"/>
          <w:szCs w:val="28"/>
          <w:rtl/>
        </w:rPr>
        <w:tab/>
      </w:r>
      <w:r w:rsidR="003852A3">
        <w:rPr>
          <w:rFonts w:ascii="FrankRuehl" w:hAnsi="FrankRuehl" w:cs="FrankRuehl" w:hint="cs"/>
          <w:sz w:val="28"/>
          <w:szCs w:val="28"/>
          <w:rtl/>
        </w:rPr>
        <w:t>מנגד, ב"כ הנאשם</w:t>
      </w:r>
      <w:r w:rsidR="00F61229">
        <w:rPr>
          <w:rFonts w:ascii="FrankRuehl" w:hAnsi="FrankRuehl" w:cs="FrankRuehl" w:hint="cs"/>
          <w:sz w:val="28"/>
          <w:szCs w:val="28"/>
          <w:rtl/>
        </w:rPr>
        <w:t xml:space="preserve"> </w:t>
      </w:r>
      <w:r w:rsidR="00EC2D00">
        <w:rPr>
          <w:rFonts w:ascii="FrankRuehl" w:hAnsi="FrankRuehl" w:cs="FrankRuehl" w:hint="cs"/>
          <w:sz w:val="28"/>
          <w:szCs w:val="28"/>
          <w:rtl/>
        </w:rPr>
        <w:t xml:space="preserve">התמקדה </w:t>
      </w:r>
      <w:r w:rsidR="00F61229">
        <w:rPr>
          <w:rFonts w:ascii="FrankRuehl" w:hAnsi="FrankRuehl" w:cs="FrankRuehl" w:hint="cs"/>
          <w:sz w:val="28"/>
          <w:szCs w:val="28"/>
          <w:rtl/>
        </w:rPr>
        <w:t xml:space="preserve">בטיעוניה </w:t>
      </w:r>
      <w:r w:rsidR="00EC2D00">
        <w:rPr>
          <w:rFonts w:ascii="FrankRuehl" w:hAnsi="FrankRuehl" w:cs="FrankRuehl" w:hint="cs"/>
          <w:sz w:val="28"/>
          <w:szCs w:val="28"/>
          <w:rtl/>
        </w:rPr>
        <w:t xml:space="preserve">בנאשם. היא ציינה </w:t>
      </w:r>
      <w:r w:rsidR="00F61229">
        <w:rPr>
          <w:rFonts w:ascii="FrankRuehl" w:hAnsi="FrankRuehl" w:cs="FrankRuehl" w:hint="cs"/>
          <w:sz w:val="28"/>
          <w:szCs w:val="28"/>
          <w:rtl/>
        </w:rPr>
        <w:t>את נסיבות חייו הקשות</w:t>
      </w:r>
      <w:r w:rsidR="00EC2D00">
        <w:rPr>
          <w:rFonts w:ascii="FrankRuehl" w:hAnsi="FrankRuehl" w:cs="FrankRuehl" w:hint="cs"/>
          <w:sz w:val="28"/>
          <w:szCs w:val="28"/>
          <w:rtl/>
        </w:rPr>
        <w:t xml:space="preserve">. כך </w:t>
      </w:r>
      <w:r>
        <w:rPr>
          <w:rFonts w:ascii="FrankRuehl" w:hAnsi="FrankRuehl" w:cs="FrankRuehl" w:hint="cs"/>
          <w:sz w:val="28"/>
          <w:szCs w:val="28"/>
          <w:rtl/>
        </w:rPr>
        <w:t xml:space="preserve">סיפרה על מסעו הארוך של הנאשם ומשפחתו מאתיופיה לישראל, בהיותו כבן 16 שנים. המסע נמשך כשנה, ובמהלכו נחשף הנאשם למראות קשים, כשלא פחות מ-13 בני משפחה </w:t>
      </w:r>
      <w:r w:rsidR="007B15EA" w:rsidRPr="002E7355">
        <w:rPr>
          <w:rFonts w:ascii="FrankRuehl" w:hAnsi="FrankRuehl" w:cs="FrankRuehl" w:hint="cs"/>
          <w:sz w:val="28"/>
          <w:szCs w:val="28"/>
          <w:rtl/>
        </w:rPr>
        <w:t xml:space="preserve">נפטרו במהלך המסע. </w:t>
      </w:r>
      <w:r w:rsidRPr="002E7355">
        <w:rPr>
          <w:rFonts w:ascii="FrankRuehl" w:hAnsi="FrankRuehl" w:cs="FrankRuehl" w:hint="cs"/>
          <w:sz w:val="28"/>
          <w:szCs w:val="28"/>
          <w:rtl/>
        </w:rPr>
        <w:t>אביו נפטר בהיות הנאשם ילד, ואמו נפטרה לפני כשנה, לאחר שקיבלה אירוע לבבי לאחר מעצרו של הנאשם. הנאשם מוכר על ידי המוסד לביטוח לאומי כמי שסובל מ-</w:t>
      </w:r>
      <w:r w:rsidR="007B15EA" w:rsidRPr="002E7355">
        <w:rPr>
          <w:rFonts w:ascii="FrankRuehl" w:hAnsi="FrankRuehl" w:cs="FrankRuehl" w:hint="cs"/>
          <w:sz w:val="28"/>
          <w:szCs w:val="28"/>
          <w:rtl/>
        </w:rPr>
        <w:t xml:space="preserve">60 </w:t>
      </w:r>
      <w:r w:rsidRPr="002E7355">
        <w:rPr>
          <w:rFonts w:ascii="FrankRuehl" w:hAnsi="FrankRuehl" w:cs="FrankRuehl" w:hint="cs"/>
          <w:sz w:val="28"/>
          <w:szCs w:val="28"/>
          <w:rtl/>
        </w:rPr>
        <w:t xml:space="preserve">אחוזי </w:t>
      </w:r>
      <w:r w:rsidR="007B15EA" w:rsidRPr="002E7355">
        <w:rPr>
          <w:rFonts w:ascii="FrankRuehl" w:hAnsi="FrankRuehl" w:cs="FrankRuehl" w:hint="cs"/>
          <w:sz w:val="28"/>
          <w:szCs w:val="28"/>
          <w:rtl/>
        </w:rPr>
        <w:t>נכות</w:t>
      </w:r>
      <w:r w:rsidRPr="002E7355">
        <w:rPr>
          <w:rFonts w:ascii="FrankRuehl" w:hAnsi="FrankRuehl" w:cs="FrankRuehl" w:hint="cs"/>
          <w:sz w:val="28"/>
          <w:szCs w:val="28"/>
          <w:rtl/>
        </w:rPr>
        <w:t>, בשל פגיעה בידו שכמ</w:t>
      </w:r>
      <w:r w:rsidR="004E607E" w:rsidRPr="002E7355">
        <w:rPr>
          <w:rFonts w:ascii="FrankRuehl" w:hAnsi="FrankRuehl" w:cs="FrankRuehl" w:hint="cs"/>
          <w:sz w:val="28"/>
          <w:szCs w:val="28"/>
          <w:rtl/>
        </w:rPr>
        <w:t>עט ואינה מתפקדת. ע</w:t>
      </w:r>
      <w:r w:rsidR="001D0CEC">
        <w:rPr>
          <w:rFonts w:ascii="FrankRuehl" w:hAnsi="FrankRuehl" w:cs="FrankRuehl" w:hint="cs"/>
          <w:sz w:val="28"/>
          <w:szCs w:val="28"/>
          <w:rtl/>
        </w:rPr>
        <w:t>ם זאת, על אף הנכות, ועל אף שבעט</w:t>
      </w:r>
      <w:r w:rsidR="004E607E" w:rsidRPr="002E7355">
        <w:rPr>
          <w:rFonts w:ascii="FrankRuehl" w:hAnsi="FrankRuehl" w:cs="FrankRuehl" w:hint="cs"/>
          <w:sz w:val="28"/>
          <w:szCs w:val="28"/>
          <w:rtl/>
        </w:rPr>
        <w:t xml:space="preserve">יה נקבע לו </w:t>
      </w:r>
      <w:r w:rsidR="001D0CEC">
        <w:rPr>
          <w:rFonts w:ascii="FrankRuehl" w:hAnsi="FrankRuehl" w:cs="FrankRuehl" w:hint="cs"/>
          <w:sz w:val="28"/>
          <w:szCs w:val="28"/>
          <w:rtl/>
        </w:rPr>
        <w:t xml:space="preserve">בעת גיוסו לצה"ל </w:t>
      </w:r>
      <w:r w:rsidR="004E607E" w:rsidRPr="002E7355">
        <w:rPr>
          <w:rFonts w:ascii="FrankRuehl" w:hAnsi="FrankRuehl" w:cs="FrankRuehl" w:hint="cs"/>
          <w:sz w:val="28"/>
          <w:szCs w:val="28"/>
          <w:rtl/>
        </w:rPr>
        <w:t xml:space="preserve">פרופיל נמוך, הוא עמד על כך שהוא ישרת שירות מלא. </w:t>
      </w:r>
    </w:p>
    <w:p w:rsidR="00AD524B" w:rsidRDefault="00AD524B" w:rsidP="002E7355">
      <w:pPr>
        <w:spacing w:line="360" w:lineRule="auto"/>
        <w:jc w:val="both"/>
        <w:rPr>
          <w:rFonts w:ascii="FrankRuehl" w:hAnsi="FrankRuehl" w:cs="FrankRuehl"/>
          <w:sz w:val="28"/>
          <w:szCs w:val="28"/>
          <w:rtl/>
        </w:rPr>
      </w:pPr>
    </w:p>
    <w:p w:rsidR="004E607E" w:rsidRPr="002E7355" w:rsidRDefault="00402EAB" w:rsidP="00AD524B">
      <w:pPr>
        <w:spacing w:line="360" w:lineRule="auto"/>
        <w:jc w:val="both"/>
        <w:rPr>
          <w:rFonts w:ascii="FrankRuehl" w:hAnsi="FrankRuehl" w:cs="FrankRuehl"/>
          <w:sz w:val="28"/>
          <w:szCs w:val="28"/>
          <w:rtl/>
        </w:rPr>
      </w:pPr>
      <w:r>
        <w:rPr>
          <w:rFonts w:ascii="FrankRuehl" w:hAnsi="FrankRuehl" w:cs="FrankRuehl" w:hint="cs"/>
          <w:sz w:val="28"/>
          <w:szCs w:val="28"/>
          <w:rtl/>
        </w:rPr>
        <w:t>50.</w:t>
      </w:r>
      <w:r>
        <w:rPr>
          <w:rFonts w:ascii="FrankRuehl" w:hAnsi="FrankRuehl" w:cs="FrankRuehl" w:hint="cs"/>
          <w:sz w:val="28"/>
          <w:szCs w:val="28"/>
          <w:rtl/>
        </w:rPr>
        <w:tab/>
      </w:r>
      <w:r w:rsidR="00AD524B">
        <w:rPr>
          <w:rFonts w:ascii="FrankRuehl" w:hAnsi="FrankRuehl" w:cs="FrankRuehl" w:hint="cs"/>
          <w:sz w:val="28"/>
          <w:szCs w:val="28"/>
          <w:rtl/>
        </w:rPr>
        <w:t xml:space="preserve">ב"כ הנאשם </w:t>
      </w:r>
      <w:r w:rsidR="004E607E" w:rsidRPr="002E7355">
        <w:rPr>
          <w:rFonts w:ascii="FrankRuehl" w:hAnsi="FrankRuehl" w:cs="FrankRuehl" w:hint="cs"/>
          <w:sz w:val="28"/>
          <w:szCs w:val="28"/>
          <w:rtl/>
        </w:rPr>
        <w:t>ציינה כי למרות כל</w:t>
      </w:r>
      <w:r w:rsidR="002E7355" w:rsidRPr="002E7355">
        <w:rPr>
          <w:rFonts w:ascii="FrankRuehl" w:hAnsi="FrankRuehl" w:cs="FrankRuehl" w:hint="cs"/>
          <w:sz w:val="28"/>
          <w:szCs w:val="28"/>
          <w:rtl/>
        </w:rPr>
        <w:t xml:space="preserve"> הקשיים, הנאשם התקדם בחייו, ועד להשעייתו עבד במשך שנים רבות בשירות המדינה. הוא הצטיין בעבודתו, היה "ראש גדול" ומלא תפקיד משמעותי. הצטיינותו באה לידי ביטוי בין היתר ביכולות הבין אישיות הטובות. </w:t>
      </w:r>
      <w:r w:rsidR="00AD524B" w:rsidRPr="00AD524B">
        <w:rPr>
          <w:rFonts w:ascii="FrankRuehl" w:hAnsi="FrankRuehl" w:cs="FrankRuehl" w:hint="cs"/>
          <w:sz w:val="28"/>
          <w:szCs w:val="28"/>
          <w:rtl/>
        </w:rPr>
        <w:t xml:space="preserve">הנאשם אוים לא פעם על ידי בני משפחה של מי שהוא לא אישר את שהותם בישראל, באופן קבוע או כמבקרים, אך הדבר לא הרתיע אותו ולא הסיג אחור את הירתמותו ומחוייבותו של הנאשם לשירות המדינה במסגרת תפקידו. הוא ראה בעבודתו שליחות ושילם על כך מחיר אישי. </w:t>
      </w:r>
      <w:r w:rsidR="00AD524B">
        <w:rPr>
          <w:rFonts w:ascii="FrankRuehl" w:hAnsi="FrankRuehl" w:cs="FrankRuehl" w:hint="cs"/>
          <w:sz w:val="28"/>
          <w:szCs w:val="28"/>
          <w:rtl/>
        </w:rPr>
        <w:t>לצד זאת, הנאשם</w:t>
      </w:r>
      <w:r w:rsidR="004E607E" w:rsidRPr="002E7355">
        <w:rPr>
          <w:rFonts w:ascii="FrankRuehl" w:hAnsi="FrankRuehl" w:cs="FrankRuehl" w:hint="cs"/>
          <w:sz w:val="28"/>
          <w:szCs w:val="28"/>
          <w:rtl/>
        </w:rPr>
        <w:t xml:space="preserve"> גידל עם רעייתו שני בנים ששירותו שירות צבאי מלא ומשמעותי ובת ששירתה שנתיים בשירות לאומי. </w:t>
      </w:r>
    </w:p>
    <w:p w:rsidR="004E607E" w:rsidRPr="002E7355" w:rsidRDefault="004E607E" w:rsidP="004E607E">
      <w:pPr>
        <w:spacing w:line="360" w:lineRule="auto"/>
        <w:jc w:val="both"/>
        <w:rPr>
          <w:rFonts w:ascii="FrankRuehl" w:hAnsi="FrankRuehl" w:cs="FrankRuehl"/>
          <w:sz w:val="28"/>
          <w:szCs w:val="28"/>
          <w:rtl/>
        </w:rPr>
      </w:pPr>
    </w:p>
    <w:p w:rsidR="00216710" w:rsidRPr="00216710" w:rsidRDefault="00402EAB" w:rsidP="00E43107">
      <w:pPr>
        <w:spacing w:line="360" w:lineRule="auto"/>
        <w:jc w:val="both"/>
        <w:rPr>
          <w:rFonts w:ascii="FrankRuehl" w:eastAsia="Calibri" w:hAnsi="FrankRuehl" w:cs="FrankRuehl"/>
          <w:sz w:val="28"/>
          <w:szCs w:val="28"/>
          <w:rtl/>
        </w:rPr>
      </w:pPr>
      <w:r>
        <w:rPr>
          <w:rFonts w:ascii="FrankRuehl" w:hAnsi="FrankRuehl" w:cs="FrankRuehl" w:hint="cs"/>
          <w:sz w:val="28"/>
          <w:szCs w:val="28"/>
          <w:rtl/>
        </w:rPr>
        <w:t>51.</w:t>
      </w:r>
      <w:r>
        <w:rPr>
          <w:rFonts w:ascii="FrankRuehl" w:hAnsi="FrankRuehl" w:cs="FrankRuehl" w:hint="cs"/>
          <w:sz w:val="28"/>
          <w:szCs w:val="28"/>
          <w:rtl/>
        </w:rPr>
        <w:tab/>
      </w:r>
      <w:r w:rsidR="002E7355" w:rsidRPr="002E7355">
        <w:rPr>
          <w:rFonts w:ascii="FrankRuehl" w:hAnsi="FrankRuehl" w:cs="FrankRuehl" w:hint="cs"/>
          <w:sz w:val="28"/>
          <w:szCs w:val="28"/>
          <w:rtl/>
        </w:rPr>
        <w:t xml:space="preserve">נטען, כי </w:t>
      </w:r>
      <w:r w:rsidR="004E607E" w:rsidRPr="002E7355">
        <w:rPr>
          <w:rFonts w:ascii="FrankRuehl" w:hAnsi="FrankRuehl" w:cs="FrankRuehl" w:hint="cs"/>
          <w:sz w:val="28"/>
          <w:szCs w:val="28"/>
          <w:rtl/>
        </w:rPr>
        <w:t xml:space="preserve">מצבה הכלכלי של המשפחה קשה והיא </w:t>
      </w:r>
      <w:r w:rsidR="007B15EA" w:rsidRPr="002E7355">
        <w:rPr>
          <w:rFonts w:ascii="FrankRuehl" w:hAnsi="FrankRuehl" w:cs="FrankRuehl" w:hint="cs"/>
          <w:sz w:val="28"/>
          <w:szCs w:val="28"/>
          <w:rtl/>
        </w:rPr>
        <w:t>מתפרנסת בקושי רב מעבודתה של רעיית</w:t>
      </w:r>
      <w:r w:rsidR="004E607E" w:rsidRPr="002E7355">
        <w:rPr>
          <w:rFonts w:ascii="FrankRuehl" w:hAnsi="FrankRuehl" w:cs="FrankRuehl" w:hint="cs"/>
          <w:sz w:val="28"/>
          <w:szCs w:val="28"/>
          <w:rtl/>
        </w:rPr>
        <w:t xml:space="preserve"> הנאשם העובדת </w:t>
      </w:r>
      <w:r w:rsidR="007B15EA" w:rsidRPr="002E7355">
        <w:rPr>
          <w:rFonts w:ascii="FrankRuehl" w:hAnsi="FrankRuehl" w:cs="FrankRuehl" w:hint="cs"/>
          <w:sz w:val="28"/>
          <w:szCs w:val="28"/>
          <w:rtl/>
        </w:rPr>
        <w:t>כסייעת בגן ילדים ומ</w:t>
      </w:r>
      <w:r w:rsidR="004E607E" w:rsidRPr="002E7355">
        <w:rPr>
          <w:rFonts w:ascii="FrankRuehl" w:hAnsi="FrankRuehl" w:cs="FrankRuehl" w:hint="cs"/>
          <w:sz w:val="28"/>
          <w:szCs w:val="28"/>
          <w:rtl/>
        </w:rPr>
        <w:t>ה</w:t>
      </w:r>
      <w:r w:rsidR="007B15EA" w:rsidRPr="002E7355">
        <w:rPr>
          <w:rFonts w:ascii="FrankRuehl" w:hAnsi="FrankRuehl" w:cs="FrankRuehl" w:hint="cs"/>
          <w:sz w:val="28"/>
          <w:szCs w:val="28"/>
          <w:rtl/>
        </w:rPr>
        <w:t>שכר</w:t>
      </w:r>
      <w:r w:rsidR="004E607E" w:rsidRPr="002E7355">
        <w:rPr>
          <w:rFonts w:ascii="FrankRuehl" w:hAnsi="FrankRuehl" w:cs="FrankRuehl" w:hint="cs"/>
          <w:sz w:val="28"/>
          <w:szCs w:val="28"/>
          <w:rtl/>
        </w:rPr>
        <w:t xml:space="preserve"> החלקי שמקבל הנאשם. לצד משבר כלכלי זה, </w:t>
      </w:r>
      <w:r w:rsidR="004E607E" w:rsidRPr="002E7355">
        <w:rPr>
          <w:rFonts w:ascii="FrankRuehl" w:hAnsi="FrankRuehl" w:cs="FrankRuehl" w:hint="cs"/>
          <w:sz w:val="28"/>
          <w:szCs w:val="28"/>
          <w:rtl/>
        </w:rPr>
        <w:lastRenderedPageBreak/>
        <w:t xml:space="preserve">המשפחה חוותה </w:t>
      </w:r>
      <w:r w:rsidR="00216710">
        <w:rPr>
          <w:rFonts w:ascii="FrankRuehl" w:hAnsi="FrankRuehl" w:cs="FrankRuehl" w:hint="cs"/>
          <w:sz w:val="28"/>
          <w:szCs w:val="28"/>
          <w:rtl/>
        </w:rPr>
        <w:t>משבר קשה מעצם פרסום העניין</w:t>
      </w:r>
      <w:r w:rsidR="004E607E" w:rsidRPr="002E7355">
        <w:rPr>
          <w:rFonts w:ascii="FrankRuehl" w:hAnsi="FrankRuehl" w:cs="FrankRuehl" w:hint="cs"/>
          <w:sz w:val="28"/>
          <w:szCs w:val="28"/>
          <w:rtl/>
        </w:rPr>
        <w:t>, והדבר גרם לשבר גדול במשפחה, שהנאשם היה מקור גאוותה. מעמדו של הנאשם ובני משפחתו בקהילה נפגע, ו</w:t>
      </w:r>
      <w:r w:rsidR="007B15EA" w:rsidRPr="002E7355">
        <w:rPr>
          <w:rFonts w:ascii="FrankRuehl" w:hAnsi="FrankRuehl" w:cs="FrankRuehl" w:hint="cs"/>
          <w:sz w:val="28"/>
          <w:szCs w:val="28"/>
          <w:rtl/>
        </w:rPr>
        <w:t>המשפחה הסתגרה בביתה</w:t>
      </w:r>
      <w:r w:rsidR="004E607E" w:rsidRPr="002E7355">
        <w:rPr>
          <w:rFonts w:ascii="FrankRuehl" w:hAnsi="FrankRuehl" w:cs="FrankRuehl" w:hint="cs"/>
          <w:sz w:val="28"/>
          <w:szCs w:val="28"/>
          <w:rtl/>
        </w:rPr>
        <w:t xml:space="preserve">. </w:t>
      </w:r>
      <w:r w:rsidR="00216710">
        <w:rPr>
          <w:rFonts w:ascii="FrankRuehl" w:eastAsia="Calibri" w:hAnsi="FrankRuehl" w:cs="FrankRuehl" w:hint="cs"/>
          <w:sz w:val="28"/>
          <w:szCs w:val="28"/>
          <w:rtl/>
        </w:rPr>
        <w:t>נט</w:t>
      </w:r>
      <w:r w:rsidR="00E43107">
        <w:rPr>
          <w:rFonts w:ascii="FrankRuehl" w:eastAsia="Calibri" w:hAnsi="FrankRuehl" w:cs="FrankRuehl" w:hint="cs"/>
          <w:sz w:val="28"/>
          <w:szCs w:val="28"/>
          <w:rtl/>
        </w:rPr>
        <w:t>ען, כי</w:t>
      </w:r>
      <w:r w:rsidR="00216710" w:rsidRPr="00216710">
        <w:rPr>
          <w:rFonts w:ascii="FrankRuehl" w:eastAsia="Calibri" w:hAnsi="FrankRuehl" w:cs="FrankRuehl" w:hint="cs"/>
          <w:sz w:val="28"/>
          <w:szCs w:val="28"/>
          <w:rtl/>
        </w:rPr>
        <w:t xml:space="preserve"> עונש מאסר בפועל יוכל להחריב כליל א</w:t>
      </w:r>
      <w:r w:rsidR="00E43107">
        <w:rPr>
          <w:rFonts w:ascii="FrankRuehl" w:eastAsia="Calibri" w:hAnsi="FrankRuehl" w:cs="FrankRuehl" w:hint="cs"/>
          <w:sz w:val="28"/>
          <w:szCs w:val="28"/>
          <w:rtl/>
        </w:rPr>
        <w:t>ת</w:t>
      </w:r>
      <w:r w:rsidR="00216710" w:rsidRPr="00216710">
        <w:rPr>
          <w:rFonts w:ascii="FrankRuehl" w:eastAsia="Calibri" w:hAnsi="FrankRuehl" w:cs="FrankRuehl" w:hint="cs"/>
          <w:sz w:val="28"/>
          <w:szCs w:val="28"/>
          <w:rtl/>
        </w:rPr>
        <w:t xml:space="preserve"> הדימוי העצמי של הנאשם, אשר שילם מחיר לא קל כבר קרוב לעשור. </w:t>
      </w:r>
    </w:p>
    <w:p w:rsidR="00216710" w:rsidRPr="002E7355" w:rsidRDefault="00216710" w:rsidP="004E607E">
      <w:pPr>
        <w:spacing w:line="360" w:lineRule="auto"/>
        <w:jc w:val="both"/>
        <w:rPr>
          <w:rFonts w:ascii="FrankRuehl" w:hAnsi="FrankRuehl" w:cs="FrankRuehl"/>
          <w:sz w:val="28"/>
          <w:szCs w:val="28"/>
          <w:rtl/>
        </w:rPr>
      </w:pPr>
    </w:p>
    <w:p w:rsidR="00EC2D00" w:rsidRPr="00EC2D00" w:rsidRDefault="00402EAB" w:rsidP="00EC2D00">
      <w:pPr>
        <w:spacing w:line="360" w:lineRule="auto"/>
        <w:jc w:val="both"/>
        <w:rPr>
          <w:rFonts w:ascii="FrankRuehl" w:hAnsi="FrankRuehl" w:cs="FrankRuehl"/>
          <w:sz w:val="28"/>
          <w:szCs w:val="28"/>
          <w:rtl/>
        </w:rPr>
      </w:pPr>
      <w:r>
        <w:rPr>
          <w:rFonts w:ascii="FrankRuehl" w:hAnsi="FrankRuehl" w:cs="FrankRuehl" w:hint="cs"/>
          <w:sz w:val="28"/>
          <w:szCs w:val="28"/>
          <w:rtl/>
        </w:rPr>
        <w:t>52.</w:t>
      </w:r>
      <w:r>
        <w:rPr>
          <w:rFonts w:ascii="FrankRuehl" w:hAnsi="FrankRuehl" w:cs="FrankRuehl" w:hint="cs"/>
          <w:sz w:val="28"/>
          <w:szCs w:val="28"/>
          <w:rtl/>
        </w:rPr>
        <w:tab/>
      </w:r>
      <w:r w:rsidR="00EC2D00" w:rsidRPr="00EC2D00">
        <w:rPr>
          <w:rFonts w:ascii="FrankRuehl" w:hAnsi="FrankRuehl" w:cs="FrankRuehl" w:hint="cs"/>
          <w:sz w:val="28"/>
          <w:szCs w:val="28"/>
          <w:rtl/>
        </w:rPr>
        <w:t xml:space="preserve">ב"כ הנאשם </w:t>
      </w:r>
      <w:r w:rsidR="00E43107">
        <w:rPr>
          <w:rFonts w:ascii="FrankRuehl" w:hAnsi="FrankRuehl" w:cs="FrankRuehl" w:hint="cs"/>
          <w:sz w:val="28"/>
          <w:szCs w:val="28"/>
          <w:rtl/>
        </w:rPr>
        <w:t xml:space="preserve">גם </w:t>
      </w:r>
      <w:r w:rsidR="00EC2D00" w:rsidRPr="00EC2D00">
        <w:rPr>
          <w:rFonts w:ascii="FrankRuehl" w:hAnsi="FrankRuehl" w:cs="FrankRuehl" w:hint="cs"/>
          <w:sz w:val="28"/>
          <w:szCs w:val="28"/>
          <w:rtl/>
        </w:rPr>
        <w:t xml:space="preserve">טענה כי אין נכון לראות בנאשם כמי שלא נטל כל אחריות על מעשיו. היא ציינה כי הנאשם לא הכחיש את שיחותיו כמו את הקשר שהיה לו עם ט', אלא שהוא נתן להם פרשנות אחרת מזו שהמאשימה נתנה לה. משכך, הוא לא התעמת עם הנשים שהעידו במשפט. הוא גם נטל אחריות מוסרית ואישית. </w:t>
      </w:r>
    </w:p>
    <w:p w:rsidR="00EC2D00" w:rsidRDefault="00EC2D00" w:rsidP="002E7355">
      <w:pPr>
        <w:spacing w:line="360" w:lineRule="auto"/>
        <w:jc w:val="both"/>
        <w:rPr>
          <w:rFonts w:ascii="FrankRuehl" w:hAnsi="FrankRuehl" w:cs="FrankRuehl"/>
          <w:sz w:val="28"/>
          <w:szCs w:val="28"/>
          <w:rtl/>
        </w:rPr>
      </w:pPr>
    </w:p>
    <w:p w:rsidR="00E43107" w:rsidRDefault="00402EAB" w:rsidP="00E43107">
      <w:pPr>
        <w:spacing w:line="360" w:lineRule="auto"/>
        <w:jc w:val="both"/>
        <w:rPr>
          <w:rFonts w:ascii="FrankRuehl" w:eastAsia="Calibri" w:hAnsi="FrankRuehl" w:cs="FrankRuehl"/>
          <w:sz w:val="28"/>
          <w:szCs w:val="28"/>
          <w:rtl/>
        </w:rPr>
      </w:pPr>
      <w:r>
        <w:rPr>
          <w:rFonts w:ascii="FrankRuehl" w:hAnsi="FrankRuehl" w:cs="FrankRuehl" w:hint="cs"/>
          <w:sz w:val="28"/>
          <w:szCs w:val="28"/>
          <w:rtl/>
        </w:rPr>
        <w:t>53.</w:t>
      </w:r>
      <w:r>
        <w:rPr>
          <w:rFonts w:ascii="FrankRuehl" w:hAnsi="FrankRuehl" w:cs="FrankRuehl" w:hint="cs"/>
          <w:sz w:val="28"/>
          <w:szCs w:val="28"/>
          <w:rtl/>
        </w:rPr>
        <w:tab/>
      </w:r>
      <w:r w:rsidR="00E43107">
        <w:rPr>
          <w:rFonts w:ascii="FrankRuehl" w:hAnsi="FrankRuehl" w:cs="FrankRuehl" w:hint="cs"/>
          <w:sz w:val="28"/>
          <w:szCs w:val="28"/>
          <w:rtl/>
        </w:rPr>
        <w:t>לאחר העמידה על נסיבותיו האישיות של הנאשם, טענה ב"כ הנאשם ביחס לנ</w:t>
      </w:r>
      <w:r w:rsidR="00E43107" w:rsidRPr="00E43107">
        <w:rPr>
          <w:rFonts w:ascii="FrankRuehl" w:hAnsi="FrankRuehl" w:cs="FrankRuehl" w:hint="cs"/>
          <w:sz w:val="28"/>
          <w:szCs w:val="28"/>
          <w:rtl/>
        </w:rPr>
        <w:t>סיבות ביצוע העבירות</w:t>
      </w:r>
      <w:r w:rsidR="00E43107">
        <w:rPr>
          <w:rFonts w:ascii="FrankRuehl" w:hAnsi="FrankRuehl" w:cs="FrankRuehl" w:hint="cs"/>
          <w:sz w:val="28"/>
          <w:szCs w:val="28"/>
          <w:rtl/>
        </w:rPr>
        <w:t xml:space="preserve">, </w:t>
      </w:r>
      <w:r w:rsidR="00E43107" w:rsidRPr="00E43107">
        <w:rPr>
          <w:rFonts w:ascii="FrankRuehl" w:hAnsi="FrankRuehl" w:cs="FrankRuehl" w:hint="cs"/>
          <w:sz w:val="28"/>
          <w:szCs w:val="28"/>
          <w:rtl/>
        </w:rPr>
        <w:t xml:space="preserve">כי בשתיים מתוכן מדובר בבקשת שוחד ולא בשוחד שנלקח בפועל. הנאשם קיים שיחות טלפון עם שתיים מהנשים, אך לא קיים עמהן יחסי מין. לא ניתן לראות בשיחות אלו ממד של תכנון או תחכום של ממש. באשר למקרה השלישי, בעניינה של ט', מדובר במי שהיה לה קשר עם הנאשם במשך חמש שנים, כשבתקופה זו הם נפגשו אחת לשבוע. הוא לא הבטיח לה סיוע או תמורה, ולכל היותר יש לראות נוכח מערכת יחסים זו כמניע מעורב, שהנאשם אך עצם עיניים ביחס ליחסי תן וקח בעניינה. מדובר אפוא, כך נטען, בעבירות שממד השוחד בהן הוא ברף מאוד נמוך, וכשמודעותו של הנאשם ביחס לעבירות הייתה אף היא ברף מאוד נמוך. מדובר היה במציאות מעורבת שהיה בה הרבה טשטוש גבולות. </w:t>
      </w:r>
    </w:p>
    <w:p w:rsidR="00E43107" w:rsidRDefault="00E43107" w:rsidP="00E43107">
      <w:pPr>
        <w:spacing w:line="360" w:lineRule="auto"/>
        <w:jc w:val="both"/>
        <w:rPr>
          <w:rFonts w:ascii="FrankRuehl" w:eastAsia="Calibri" w:hAnsi="FrankRuehl" w:cs="FrankRuehl"/>
          <w:sz w:val="28"/>
          <w:szCs w:val="28"/>
          <w:rtl/>
        </w:rPr>
      </w:pPr>
    </w:p>
    <w:p w:rsidR="00E43107" w:rsidRDefault="00402EAB" w:rsidP="00E43107">
      <w:pPr>
        <w:spacing w:line="360" w:lineRule="auto"/>
        <w:jc w:val="both"/>
        <w:rPr>
          <w:rFonts w:ascii="FrankRuehl" w:hAnsi="FrankRuehl" w:cs="FrankRuehl"/>
          <w:sz w:val="28"/>
          <w:szCs w:val="28"/>
          <w:rtl/>
        </w:rPr>
      </w:pPr>
      <w:r>
        <w:rPr>
          <w:rFonts w:ascii="FrankRuehl" w:eastAsia="Calibri" w:hAnsi="FrankRuehl" w:cs="FrankRuehl" w:hint="cs"/>
          <w:sz w:val="28"/>
          <w:szCs w:val="28"/>
          <w:rtl/>
        </w:rPr>
        <w:t>54.</w:t>
      </w:r>
      <w:r>
        <w:rPr>
          <w:rFonts w:ascii="FrankRuehl" w:eastAsia="Calibri" w:hAnsi="FrankRuehl" w:cs="FrankRuehl" w:hint="cs"/>
          <w:sz w:val="28"/>
          <w:szCs w:val="28"/>
          <w:rtl/>
        </w:rPr>
        <w:tab/>
      </w:r>
      <w:r w:rsidR="00E43107" w:rsidRPr="00216710">
        <w:rPr>
          <w:rFonts w:ascii="FrankRuehl" w:eastAsia="Calibri" w:hAnsi="FrankRuehl" w:cs="FrankRuehl" w:hint="cs"/>
          <w:sz w:val="28"/>
          <w:szCs w:val="28"/>
          <w:rtl/>
        </w:rPr>
        <w:t xml:space="preserve">ב"כ הנאשם גם טענו שיש לתת משקל לכך, ששתיים מתוך שלוש הנשים לא חוו את האירוע כאירוע שוחד. ט' פירשה את הקשר כאנושי, וי' תארה את רצונה לשמור על קשר עם הנאשם בשל העזרה שהוא נתן לה לא רק בעניינים אלו שהנאשם עסק בהם במסגרת תפקידו, לגביהם היא אף ציינה כי ידעה כי אין בידו לסייע לה. </w:t>
      </w:r>
    </w:p>
    <w:p w:rsidR="00E43107" w:rsidRDefault="00E43107" w:rsidP="00E43107">
      <w:pPr>
        <w:spacing w:line="360" w:lineRule="auto"/>
        <w:jc w:val="both"/>
        <w:rPr>
          <w:rFonts w:ascii="FrankRuehl" w:hAnsi="FrankRuehl" w:cs="FrankRuehl"/>
          <w:sz w:val="28"/>
          <w:szCs w:val="28"/>
          <w:rtl/>
        </w:rPr>
      </w:pPr>
    </w:p>
    <w:p w:rsidR="002E7355" w:rsidRPr="002E7355" w:rsidRDefault="00402EAB" w:rsidP="00E43107">
      <w:pPr>
        <w:spacing w:line="360" w:lineRule="auto"/>
        <w:jc w:val="both"/>
        <w:rPr>
          <w:rFonts w:ascii="FrankRuehl" w:hAnsi="FrankRuehl" w:cs="FrankRuehl"/>
          <w:sz w:val="28"/>
          <w:szCs w:val="28"/>
          <w:rtl/>
        </w:rPr>
      </w:pPr>
      <w:r>
        <w:rPr>
          <w:rFonts w:ascii="FrankRuehl" w:hAnsi="FrankRuehl" w:cs="FrankRuehl" w:hint="cs"/>
          <w:sz w:val="28"/>
          <w:szCs w:val="28"/>
          <w:rtl/>
        </w:rPr>
        <w:t>55.</w:t>
      </w:r>
      <w:r>
        <w:rPr>
          <w:rFonts w:ascii="FrankRuehl" w:hAnsi="FrankRuehl" w:cs="FrankRuehl" w:hint="cs"/>
          <w:sz w:val="28"/>
          <w:szCs w:val="28"/>
          <w:rtl/>
        </w:rPr>
        <w:tab/>
      </w:r>
      <w:r w:rsidR="002E7355">
        <w:rPr>
          <w:rFonts w:ascii="FrankRuehl" w:hAnsi="FrankRuehl" w:cs="FrankRuehl" w:hint="cs"/>
          <w:sz w:val="28"/>
          <w:szCs w:val="28"/>
          <w:rtl/>
        </w:rPr>
        <w:t xml:space="preserve">באשר למתחם העונש ההולם טענה ב"כ המאשימה, כי יש לראות בכל האישומים אירוע אחד ולקבוע בהתאם מתחם עונש הולם אחד. זאת, נוכח הקשר ההדוק בין המעשים וסמיכות הזמנים. </w:t>
      </w:r>
      <w:r w:rsidR="002E7355" w:rsidRPr="002E7355">
        <w:rPr>
          <w:rFonts w:ascii="FrankRuehl" w:hAnsi="FrankRuehl" w:cs="FrankRuehl" w:hint="cs"/>
          <w:sz w:val="28"/>
          <w:szCs w:val="28"/>
          <w:rtl/>
        </w:rPr>
        <w:t>לשיטתה, מתחם העונש ההולם את מעשיו של הנאשם נע מ</w:t>
      </w:r>
      <w:r w:rsidR="007B15EA" w:rsidRPr="002E7355">
        <w:rPr>
          <w:rFonts w:ascii="FrankRuehl" w:hAnsi="FrankRuehl" w:cs="FrankRuehl" w:hint="cs"/>
          <w:sz w:val="28"/>
          <w:szCs w:val="28"/>
          <w:rtl/>
        </w:rPr>
        <w:t xml:space="preserve">מאסר על תנאי </w:t>
      </w:r>
      <w:r w:rsidR="002E7355" w:rsidRPr="002E7355">
        <w:rPr>
          <w:rFonts w:ascii="FrankRuehl" w:hAnsi="FrankRuehl" w:cs="FrankRuehl" w:hint="cs"/>
          <w:sz w:val="28"/>
          <w:szCs w:val="28"/>
          <w:rtl/>
        </w:rPr>
        <w:t>ועד למספר חודשים ב</w:t>
      </w:r>
      <w:r w:rsidR="007B15EA" w:rsidRPr="002E7355">
        <w:rPr>
          <w:rFonts w:ascii="FrankRuehl" w:hAnsi="FrankRuehl" w:cs="FrankRuehl" w:hint="cs"/>
          <w:sz w:val="28"/>
          <w:szCs w:val="28"/>
          <w:rtl/>
        </w:rPr>
        <w:t>עבודות</w:t>
      </w:r>
      <w:r w:rsidR="00216710">
        <w:rPr>
          <w:rFonts w:ascii="FrankRuehl" w:hAnsi="FrankRuehl" w:cs="FrankRuehl" w:hint="cs"/>
          <w:sz w:val="28"/>
          <w:szCs w:val="28"/>
          <w:rtl/>
        </w:rPr>
        <w:t xml:space="preserve"> שירות</w:t>
      </w:r>
      <w:r w:rsidR="002E7355" w:rsidRPr="002E7355">
        <w:rPr>
          <w:rFonts w:ascii="FrankRuehl" w:hAnsi="FrankRuehl" w:cs="FrankRuehl" w:hint="cs"/>
          <w:sz w:val="28"/>
          <w:szCs w:val="28"/>
          <w:rtl/>
        </w:rPr>
        <w:t>.</w:t>
      </w:r>
      <w:r w:rsidR="002E7355">
        <w:rPr>
          <w:rFonts w:ascii="FrankRuehl" w:hAnsi="FrankRuehl" w:cs="FrankRuehl" w:hint="cs"/>
          <w:sz w:val="28"/>
          <w:szCs w:val="28"/>
          <w:rtl/>
        </w:rPr>
        <w:t xml:space="preserve"> גם ב"כ הנאשם תמכו את טיעוניהם בפסיקה. </w:t>
      </w:r>
    </w:p>
    <w:p w:rsidR="002E7355" w:rsidRDefault="002E7355" w:rsidP="002E7355">
      <w:pPr>
        <w:spacing w:line="360" w:lineRule="auto"/>
        <w:jc w:val="both"/>
        <w:rPr>
          <w:rFonts w:ascii="FrankRuehl" w:hAnsi="FrankRuehl" w:cs="FrankRuehl"/>
          <w:sz w:val="28"/>
          <w:szCs w:val="28"/>
          <w:rtl/>
        </w:rPr>
      </w:pPr>
    </w:p>
    <w:p w:rsidR="00E43107" w:rsidRPr="00402EAB" w:rsidRDefault="00402EAB" w:rsidP="00402EAB">
      <w:pPr>
        <w:spacing w:line="360" w:lineRule="auto"/>
        <w:jc w:val="both"/>
        <w:rPr>
          <w:rFonts w:ascii="FrankRuehl" w:hAnsi="FrankRuehl" w:cs="FrankRuehl"/>
          <w:sz w:val="28"/>
          <w:szCs w:val="28"/>
          <w:rtl/>
        </w:rPr>
      </w:pPr>
      <w:r>
        <w:rPr>
          <w:rFonts w:ascii="FrankRuehl" w:hAnsi="FrankRuehl" w:cs="FrankRuehl" w:hint="cs"/>
          <w:sz w:val="28"/>
          <w:szCs w:val="28"/>
          <w:rtl/>
        </w:rPr>
        <w:t>56.</w:t>
      </w:r>
      <w:r>
        <w:rPr>
          <w:rFonts w:ascii="FrankRuehl" w:hAnsi="FrankRuehl" w:cs="FrankRuehl" w:hint="cs"/>
          <w:sz w:val="28"/>
          <w:szCs w:val="28"/>
          <w:rtl/>
        </w:rPr>
        <w:tab/>
      </w:r>
      <w:r w:rsidR="00E43107" w:rsidRPr="00E43107">
        <w:rPr>
          <w:rFonts w:ascii="FrankRuehl" w:hAnsi="FrankRuehl" w:cs="FrankRuehl" w:hint="cs"/>
          <w:sz w:val="28"/>
          <w:szCs w:val="28"/>
          <w:rtl/>
        </w:rPr>
        <w:t xml:space="preserve">בהקשר </w:t>
      </w:r>
      <w:r>
        <w:rPr>
          <w:rFonts w:ascii="FrankRuehl" w:hAnsi="FrankRuehl" w:cs="FrankRuehl" w:hint="cs"/>
          <w:sz w:val="28"/>
          <w:szCs w:val="28"/>
          <w:rtl/>
        </w:rPr>
        <w:t>זה יצוין, כי ב"כ הנאשם הגישו אס</w:t>
      </w:r>
      <w:r w:rsidR="00E43107" w:rsidRPr="00E43107">
        <w:rPr>
          <w:rFonts w:ascii="FrankRuehl" w:hAnsi="FrankRuehl" w:cs="FrankRuehl" w:hint="cs"/>
          <w:sz w:val="28"/>
          <w:szCs w:val="28"/>
          <w:rtl/>
        </w:rPr>
        <w:t>ו</w:t>
      </w:r>
      <w:r>
        <w:rPr>
          <w:rFonts w:ascii="FrankRuehl" w:hAnsi="FrankRuehl" w:cs="FrankRuehl" w:hint="cs"/>
          <w:sz w:val="28"/>
          <w:szCs w:val="28"/>
          <w:rtl/>
        </w:rPr>
        <w:t>פ</w:t>
      </w:r>
      <w:r w:rsidR="00E43107" w:rsidRPr="00E43107">
        <w:rPr>
          <w:rFonts w:ascii="FrankRuehl" w:hAnsi="FrankRuehl" w:cs="FrankRuehl" w:hint="cs"/>
          <w:sz w:val="28"/>
          <w:szCs w:val="28"/>
          <w:rtl/>
        </w:rPr>
        <w:t xml:space="preserve">ת פסיקה של בית הדין למשמעת לשוטרים, ממנה ביקשו ללמד כי מקרים רבים הדומים </w:t>
      </w:r>
      <w:r w:rsidR="00E43107" w:rsidRPr="00402EAB">
        <w:rPr>
          <w:rFonts w:ascii="FrankRuehl" w:hAnsi="FrankRuehl" w:cs="FrankRuehl" w:hint="cs"/>
          <w:sz w:val="28"/>
          <w:szCs w:val="28"/>
          <w:rtl/>
        </w:rPr>
        <w:t xml:space="preserve">למקרה זה כלל לא הגיעו להליך פלילי ונסתיימו בדין משמעתי. אציין כבר עתה כי עיינתי בפסיקה, ואין הנדון דומה לראייה. </w:t>
      </w:r>
      <w:r w:rsidRPr="00590E59">
        <w:rPr>
          <w:rFonts w:ascii="FrankRuehl" w:hAnsi="FrankRuehl" w:cs="FrankRuehl"/>
          <w:sz w:val="28"/>
          <w:szCs w:val="28"/>
          <w:rtl/>
        </w:rPr>
        <w:t>למעשה למעט אירוע אחד בו נדון עניינו של שוטר ששימש כחוקר בתחנת משטרה קיבל תלונה המטופלת בבריאות הנפש על אונס שעברה, ומאז פעל לקיים עמה קשר טלפוני ומפגשים, לרבות קשר מיני (ביד"ם 57/21), כל שאר גזרי הדין של בית הדין למשמעת שהוגשו</w:t>
      </w:r>
      <w:r w:rsidRPr="00402EAB">
        <w:rPr>
          <w:rFonts w:ascii="FrankRuehl" w:hAnsi="FrankRuehl" w:cs="FrankRuehl" w:hint="cs"/>
          <w:sz w:val="28"/>
          <w:szCs w:val="28"/>
          <w:rtl/>
        </w:rPr>
        <w:t>,</w:t>
      </w:r>
      <w:r w:rsidRPr="00590E59">
        <w:rPr>
          <w:rFonts w:ascii="FrankRuehl" w:hAnsi="FrankRuehl" w:cs="FrankRuehl"/>
          <w:sz w:val="28"/>
          <w:szCs w:val="28"/>
          <w:rtl/>
        </w:rPr>
        <w:t xml:space="preserve"> עוסקים בעניינים שונים לחלוטין, רובם עוסקים במערכות יחסים בין שוטרים לשוטרות שהיו כפופות להם. מקרים אלו שונים באופן מהותי מהעניין שבפני, ואין להסיק מהם דבר.</w:t>
      </w:r>
    </w:p>
    <w:p w:rsidR="00402EAB" w:rsidRPr="00402EAB" w:rsidRDefault="00402EAB" w:rsidP="00FE1C1A">
      <w:pPr>
        <w:spacing w:line="360" w:lineRule="auto"/>
        <w:jc w:val="both"/>
        <w:rPr>
          <w:rFonts w:ascii="FrankRuehl" w:hAnsi="FrankRuehl" w:cs="FrankRuehl"/>
          <w:sz w:val="28"/>
          <w:szCs w:val="28"/>
          <w:rtl/>
        </w:rPr>
      </w:pPr>
    </w:p>
    <w:p w:rsidR="00FE1C1A" w:rsidRPr="00AD524B" w:rsidRDefault="00402EAB" w:rsidP="00FE1C1A">
      <w:pPr>
        <w:spacing w:line="360" w:lineRule="auto"/>
        <w:jc w:val="both"/>
        <w:rPr>
          <w:rFonts w:ascii="FrankRuehl" w:hAnsi="FrankRuehl" w:cs="FrankRuehl"/>
          <w:sz w:val="28"/>
          <w:szCs w:val="28"/>
          <w:rtl/>
        </w:rPr>
      </w:pPr>
      <w:r w:rsidRPr="00402EAB">
        <w:rPr>
          <w:rFonts w:ascii="FrankRuehl" w:hAnsi="FrankRuehl" w:cs="FrankRuehl" w:hint="cs"/>
          <w:sz w:val="28"/>
          <w:szCs w:val="28"/>
          <w:rtl/>
        </w:rPr>
        <w:t>57.</w:t>
      </w:r>
      <w:r w:rsidRPr="00402EAB">
        <w:rPr>
          <w:rFonts w:ascii="FrankRuehl" w:hAnsi="FrankRuehl" w:cs="FrankRuehl" w:hint="cs"/>
          <w:sz w:val="28"/>
          <w:szCs w:val="28"/>
          <w:rtl/>
        </w:rPr>
        <w:tab/>
      </w:r>
      <w:r w:rsidR="002E7355" w:rsidRPr="00402EAB">
        <w:rPr>
          <w:rFonts w:ascii="FrankRuehl" w:hAnsi="FrankRuehl" w:cs="FrankRuehl" w:hint="cs"/>
          <w:sz w:val="28"/>
          <w:szCs w:val="28"/>
          <w:rtl/>
        </w:rPr>
        <w:t xml:space="preserve">בסופו של יום נתבקש להשית על הנאשם </w:t>
      </w:r>
      <w:r w:rsidR="007B15EA" w:rsidRPr="00402EAB">
        <w:rPr>
          <w:rFonts w:ascii="FrankRuehl" w:hAnsi="FrankRuehl" w:cs="FrankRuehl" w:hint="cs"/>
          <w:sz w:val="28"/>
          <w:szCs w:val="28"/>
          <w:rtl/>
        </w:rPr>
        <w:t xml:space="preserve">עונש של </w:t>
      </w:r>
      <w:r w:rsidR="007B15EA" w:rsidRPr="00AD524B">
        <w:rPr>
          <w:rFonts w:ascii="FrankRuehl" w:hAnsi="FrankRuehl" w:cs="FrankRuehl" w:hint="cs"/>
          <w:sz w:val="28"/>
          <w:szCs w:val="28"/>
          <w:rtl/>
        </w:rPr>
        <w:t>מאסר מותנה</w:t>
      </w:r>
      <w:r w:rsidR="002E7355" w:rsidRPr="00AD524B">
        <w:rPr>
          <w:rFonts w:ascii="FrankRuehl" w:hAnsi="FrankRuehl" w:cs="FrankRuehl" w:hint="cs"/>
          <w:sz w:val="28"/>
          <w:szCs w:val="28"/>
          <w:rtl/>
        </w:rPr>
        <w:t>,</w:t>
      </w:r>
      <w:r w:rsidR="007B15EA" w:rsidRPr="00AD524B">
        <w:rPr>
          <w:rFonts w:ascii="FrankRuehl" w:hAnsi="FrankRuehl" w:cs="FrankRuehl" w:hint="cs"/>
          <w:sz w:val="28"/>
          <w:szCs w:val="28"/>
          <w:rtl/>
        </w:rPr>
        <w:t xml:space="preserve"> בין </w:t>
      </w:r>
      <w:r w:rsidR="002E7355" w:rsidRPr="00AD524B">
        <w:rPr>
          <w:rFonts w:ascii="FrankRuehl" w:hAnsi="FrankRuehl" w:cs="FrankRuehl" w:hint="cs"/>
          <w:sz w:val="28"/>
          <w:szCs w:val="28"/>
          <w:rtl/>
        </w:rPr>
        <w:t xml:space="preserve">בשל מיקום עונשו </w:t>
      </w:r>
      <w:r w:rsidR="007B15EA" w:rsidRPr="00AD524B">
        <w:rPr>
          <w:rFonts w:ascii="FrankRuehl" w:hAnsi="FrankRuehl" w:cs="FrankRuehl" w:hint="cs"/>
          <w:sz w:val="28"/>
          <w:szCs w:val="28"/>
          <w:rtl/>
        </w:rPr>
        <w:t xml:space="preserve">בתחתית המתחם </w:t>
      </w:r>
      <w:r w:rsidR="002E7355" w:rsidRPr="00AD524B">
        <w:rPr>
          <w:rFonts w:ascii="FrankRuehl" w:hAnsi="FrankRuehl" w:cs="FrankRuehl" w:hint="cs"/>
          <w:sz w:val="28"/>
          <w:szCs w:val="28"/>
          <w:rtl/>
        </w:rPr>
        <w:t xml:space="preserve">ואם בחריגה </w:t>
      </w:r>
      <w:r w:rsidR="007B15EA" w:rsidRPr="00AD524B">
        <w:rPr>
          <w:rFonts w:ascii="FrankRuehl" w:hAnsi="FrankRuehl" w:cs="FrankRuehl" w:hint="cs"/>
          <w:sz w:val="28"/>
          <w:szCs w:val="28"/>
          <w:rtl/>
        </w:rPr>
        <w:t>ממתחם העונש ההולם משיקולי צדק.</w:t>
      </w:r>
      <w:r w:rsidR="002E7355" w:rsidRPr="00AD524B">
        <w:rPr>
          <w:rFonts w:ascii="FrankRuehl" w:hAnsi="FrankRuehl" w:cs="FrankRuehl" w:hint="cs"/>
          <w:sz w:val="28"/>
          <w:szCs w:val="28"/>
          <w:rtl/>
        </w:rPr>
        <w:t xml:space="preserve"> בעניין זה כיוונו ב"כ הנאשם לעניין השיהוי. הם עמדו על התקופה הארוכה שחלפה מחקירת הנאשם ועד להגשת כתב האישום, מבלי ש</w:t>
      </w:r>
      <w:r w:rsidR="00FE1C1A" w:rsidRPr="00AD524B">
        <w:rPr>
          <w:rFonts w:ascii="FrankRuehl" w:hAnsi="FrankRuehl" w:cs="FrankRuehl" w:hint="cs"/>
          <w:sz w:val="28"/>
          <w:szCs w:val="28"/>
          <w:rtl/>
        </w:rPr>
        <w:t>נ</w:t>
      </w:r>
      <w:r w:rsidR="002E7355" w:rsidRPr="00AD524B">
        <w:rPr>
          <w:rFonts w:ascii="FrankRuehl" w:hAnsi="FrankRuehl" w:cs="FrankRuehl" w:hint="cs"/>
          <w:sz w:val="28"/>
          <w:szCs w:val="28"/>
          <w:rtl/>
        </w:rPr>
        <w:t xml:space="preserve">יתן לכך הסבר, לצד התארכות ההליך בבית המשפט, גם הוא, כך נטען, בעטייה של המאשימה. </w:t>
      </w:r>
      <w:r w:rsidR="00FE1C1A" w:rsidRPr="00AD524B">
        <w:rPr>
          <w:rFonts w:ascii="FrankRuehl" w:hAnsi="FrankRuehl" w:cs="FrankRuehl" w:hint="cs"/>
          <w:sz w:val="28"/>
          <w:szCs w:val="28"/>
          <w:rtl/>
        </w:rPr>
        <w:t xml:space="preserve">ב"כ הנאשם טענה, כי חלוף הזמן כשלעצמו מצדיק במקרה זה הימנעות ממאסר בפועל.  </w:t>
      </w:r>
    </w:p>
    <w:p w:rsidR="002E7355" w:rsidRPr="00AD524B" w:rsidRDefault="002E7355" w:rsidP="002E7355">
      <w:pPr>
        <w:spacing w:line="360" w:lineRule="auto"/>
        <w:jc w:val="both"/>
        <w:rPr>
          <w:rFonts w:ascii="FrankRuehl" w:hAnsi="FrankRuehl" w:cs="FrankRuehl"/>
          <w:sz w:val="28"/>
          <w:szCs w:val="28"/>
          <w:rtl/>
        </w:rPr>
      </w:pPr>
    </w:p>
    <w:p w:rsidR="00402EAB" w:rsidRDefault="00402EAB" w:rsidP="001C627A">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58.</w:t>
      </w:r>
      <w:r>
        <w:rPr>
          <w:rFonts w:ascii="FrankRuehl" w:eastAsia="Calibri" w:hAnsi="FrankRuehl" w:cs="FrankRuehl" w:hint="cs"/>
          <w:sz w:val="28"/>
          <w:szCs w:val="28"/>
          <w:rtl/>
        </w:rPr>
        <w:tab/>
      </w:r>
      <w:r w:rsidR="00E43107" w:rsidRPr="003852A3">
        <w:rPr>
          <w:rFonts w:ascii="FrankRuehl" w:eastAsia="Calibri" w:hAnsi="FrankRuehl" w:cs="FrankRuehl" w:hint="cs"/>
          <w:sz w:val="28"/>
          <w:szCs w:val="28"/>
          <w:rtl/>
        </w:rPr>
        <w:t xml:space="preserve">הנאשם ציין כי אין לו מה להוסיף על דברי באי כוחו, ועל מכלול הדברים שנשמעו בכל הנוגע לנסיבות חייו ולמה שעובר עליו ועל בני משפחתו. </w:t>
      </w:r>
    </w:p>
    <w:p w:rsidR="001C627A" w:rsidRPr="001C627A" w:rsidRDefault="001C627A" w:rsidP="001C627A">
      <w:pPr>
        <w:spacing w:after="160" w:line="360" w:lineRule="auto"/>
        <w:jc w:val="both"/>
        <w:rPr>
          <w:rFonts w:ascii="FrankRuehl" w:eastAsia="Calibri" w:hAnsi="FrankRuehl" w:cs="FrankRuehl"/>
          <w:sz w:val="28"/>
          <w:szCs w:val="28"/>
          <w:rtl/>
        </w:rPr>
      </w:pPr>
    </w:p>
    <w:p w:rsidR="007B15EA" w:rsidRPr="003852A3" w:rsidRDefault="007B15EA" w:rsidP="00D508C1">
      <w:pPr>
        <w:spacing w:after="160" w:line="360" w:lineRule="auto"/>
        <w:jc w:val="both"/>
        <w:rPr>
          <w:rFonts w:ascii="FrankRuehl" w:eastAsia="Calibri" w:hAnsi="FrankRuehl" w:cs="FrankRuehl"/>
          <w:b/>
          <w:bCs/>
          <w:sz w:val="28"/>
          <w:szCs w:val="28"/>
          <w:u w:val="single"/>
          <w:rtl/>
        </w:rPr>
      </w:pPr>
      <w:r w:rsidRPr="003852A3">
        <w:rPr>
          <w:rFonts w:ascii="FrankRuehl" w:eastAsia="Calibri" w:hAnsi="FrankRuehl" w:cs="FrankRuehl" w:hint="cs"/>
          <w:b/>
          <w:bCs/>
          <w:sz w:val="28"/>
          <w:szCs w:val="28"/>
          <w:u w:val="single"/>
          <w:rtl/>
        </w:rPr>
        <w:t>דיון והכרעה</w:t>
      </w:r>
    </w:p>
    <w:p w:rsidR="002F2F55" w:rsidRDefault="00026FE9" w:rsidP="002F2F55">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59.</w:t>
      </w:r>
      <w:r>
        <w:rPr>
          <w:rFonts w:ascii="FrankRuehl" w:eastAsia="Calibri" w:hAnsi="FrankRuehl" w:cs="FrankRuehl" w:hint="cs"/>
          <w:sz w:val="28"/>
          <w:szCs w:val="28"/>
          <w:rtl/>
        </w:rPr>
        <w:tab/>
      </w:r>
      <w:r w:rsidR="00455B70">
        <w:rPr>
          <w:rFonts w:ascii="FrankRuehl" w:eastAsia="Calibri" w:hAnsi="FrankRuehl" w:cs="FrankRuehl" w:hint="cs"/>
          <w:sz w:val="28"/>
          <w:szCs w:val="28"/>
          <w:rtl/>
        </w:rPr>
        <w:t>חומרת עביר</w:t>
      </w:r>
      <w:r w:rsidR="002F2F55">
        <w:rPr>
          <w:rFonts w:ascii="FrankRuehl" w:eastAsia="Calibri" w:hAnsi="FrankRuehl" w:cs="FrankRuehl" w:hint="cs"/>
          <w:sz w:val="28"/>
          <w:szCs w:val="28"/>
          <w:rtl/>
        </w:rPr>
        <w:t>ו</w:t>
      </w:r>
      <w:r w:rsidR="00455B70">
        <w:rPr>
          <w:rFonts w:ascii="FrankRuehl" w:eastAsia="Calibri" w:hAnsi="FrankRuehl" w:cs="FrankRuehl" w:hint="cs"/>
          <w:sz w:val="28"/>
          <w:szCs w:val="28"/>
          <w:rtl/>
        </w:rPr>
        <w:t xml:space="preserve">ת השוחד אינה צריכה לפנים. </w:t>
      </w:r>
      <w:r w:rsidR="002F2F55">
        <w:rPr>
          <w:rFonts w:ascii="FrankRuehl" w:eastAsia="Calibri" w:hAnsi="FrankRuehl" w:cs="FrankRuehl" w:hint="cs"/>
          <w:sz w:val="28"/>
          <w:szCs w:val="28"/>
          <w:rtl/>
        </w:rPr>
        <w:t xml:space="preserve">עבירות אלו </w:t>
      </w:r>
      <w:r w:rsidR="002F2F55" w:rsidRPr="00C872B0">
        <w:rPr>
          <w:rFonts w:ascii="FrankRuehl" w:eastAsia="Calibri" w:hAnsi="FrankRuehl" w:cs="FrankRuehl"/>
          <w:sz w:val="28"/>
          <w:szCs w:val="28"/>
          <w:rtl/>
        </w:rPr>
        <w:t>"מסוכנות הן לחברה ולסדרי הממשל. הן מכרסמות בעבותות הקושרות אותנו כבני חברה אחת. הן מפרות את האמון של פרט בפרט, ושל הפרט בשלטון. הן מעודדות זלזול ברשויות הציבור ובעובדי הציבור. הן מטפחות ציניות כלפי רשויות המינהל וכלפי הסדר החברתי הקיים. הן פוגמות באמון של הפרט בתפקודו של הכלל, ובכך מערערות את היציבות החברתית" (</w:t>
      </w:r>
      <w:hyperlink r:id="rId8" w:history="1">
        <w:r w:rsidR="002F2F55" w:rsidRPr="00C872B0">
          <w:rPr>
            <w:rFonts w:ascii="FrankRuehl" w:eastAsia="Calibri" w:hAnsi="FrankRuehl" w:cs="FrankRuehl"/>
            <w:sz w:val="28"/>
            <w:szCs w:val="28"/>
            <w:rtl/>
          </w:rPr>
          <w:t>בג"ץ 7074/93</w:t>
        </w:r>
      </w:hyperlink>
      <w:r w:rsidR="002F2F55" w:rsidRPr="00C872B0">
        <w:rPr>
          <w:rFonts w:ascii="FrankRuehl" w:eastAsia="Calibri" w:hAnsi="FrankRuehl" w:cs="FrankRuehl"/>
          <w:sz w:val="28"/>
          <w:szCs w:val="28"/>
          <w:rtl/>
        </w:rPr>
        <w:t> </w:t>
      </w:r>
      <w:r w:rsidR="002F2F55" w:rsidRPr="002F2F55">
        <w:rPr>
          <w:rFonts w:ascii="FrankRuehl" w:eastAsia="Calibri" w:hAnsi="FrankRuehl" w:cs="FrankRuehl"/>
          <w:b/>
          <w:bCs/>
          <w:sz w:val="28"/>
          <w:szCs w:val="28"/>
          <w:rtl/>
        </w:rPr>
        <w:t>סויסא נ' היועץ המשפטי לממשלה</w:t>
      </w:r>
      <w:r w:rsidR="002F2F55" w:rsidRPr="00C872B0">
        <w:rPr>
          <w:rFonts w:ascii="FrankRuehl" w:eastAsia="Calibri" w:hAnsi="FrankRuehl" w:cs="FrankRuehl"/>
          <w:sz w:val="28"/>
          <w:szCs w:val="28"/>
          <w:rtl/>
        </w:rPr>
        <w:t>, פ"ד מח(2), 777 (1994)</w:t>
      </w:r>
      <w:r w:rsidR="002F2F55">
        <w:rPr>
          <w:rFonts w:ascii="FrankRuehl" w:eastAsia="Calibri" w:hAnsi="FrankRuehl" w:cs="FrankRuehl" w:hint="cs"/>
          <w:sz w:val="28"/>
          <w:szCs w:val="28"/>
          <w:rtl/>
        </w:rPr>
        <w:t>).</w:t>
      </w:r>
    </w:p>
    <w:p w:rsidR="002F2F55" w:rsidRPr="00C872B0" w:rsidRDefault="00026FE9" w:rsidP="0012203E">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lastRenderedPageBreak/>
        <w:t>60.</w:t>
      </w:r>
      <w:r>
        <w:rPr>
          <w:rFonts w:ascii="FrankRuehl" w:eastAsia="Calibri" w:hAnsi="FrankRuehl" w:cs="FrankRuehl" w:hint="cs"/>
          <w:sz w:val="28"/>
          <w:szCs w:val="28"/>
          <w:rtl/>
        </w:rPr>
        <w:tab/>
      </w:r>
      <w:r w:rsidR="002F2F55">
        <w:rPr>
          <w:rFonts w:ascii="FrankRuehl" w:eastAsia="Calibri" w:hAnsi="FrankRuehl" w:cs="FrankRuehl" w:hint="cs"/>
          <w:sz w:val="28"/>
          <w:szCs w:val="28"/>
          <w:rtl/>
        </w:rPr>
        <w:t xml:space="preserve">עבירת השוחד נועדה להגן על ערכים בסיסיים והכרחיים לקיומה של חברה דמוקרטית תקינה, ביניהם: </w:t>
      </w:r>
      <w:r w:rsidR="002F2F55" w:rsidRPr="00C872B0">
        <w:rPr>
          <w:rFonts w:ascii="FrankRuehl" w:eastAsia="Calibri" w:hAnsi="FrankRuehl" w:cs="FrankRuehl"/>
          <w:sz w:val="28"/>
          <w:szCs w:val="28"/>
          <w:rtl/>
        </w:rPr>
        <w:t xml:space="preserve">טוהר המידות של פקידי הציבור, שנועד להבטיח כי </w:t>
      </w:r>
      <w:r w:rsidR="002F2F55">
        <w:rPr>
          <w:rFonts w:ascii="FrankRuehl" w:eastAsia="Calibri" w:hAnsi="FrankRuehl" w:cs="FrankRuehl" w:hint="cs"/>
          <w:sz w:val="28"/>
          <w:szCs w:val="28"/>
          <w:rtl/>
        </w:rPr>
        <w:t xml:space="preserve">מי שבידו הכוח </w:t>
      </w:r>
      <w:r w:rsidR="002F2F55" w:rsidRPr="00C872B0">
        <w:rPr>
          <w:rFonts w:ascii="FrankRuehl" w:eastAsia="Calibri" w:hAnsi="FrankRuehl" w:cs="FrankRuehl"/>
          <w:sz w:val="28"/>
          <w:szCs w:val="28"/>
          <w:rtl/>
        </w:rPr>
        <w:t>לפעול בשם הרשות יפעל ביושר</w:t>
      </w:r>
      <w:r w:rsidR="002F2F55">
        <w:rPr>
          <w:rFonts w:ascii="FrankRuehl" w:eastAsia="Calibri" w:hAnsi="FrankRuehl" w:cs="FrankRuehl"/>
          <w:sz w:val="28"/>
          <w:szCs w:val="28"/>
          <w:rtl/>
        </w:rPr>
        <w:t xml:space="preserve"> ובהגינות; פעילותו התקינה של המ</w:t>
      </w:r>
      <w:r w:rsidR="002F2F55" w:rsidRPr="00C872B0">
        <w:rPr>
          <w:rFonts w:ascii="FrankRuehl" w:eastAsia="Calibri" w:hAnsi="FrankRuehl" w:cs="FrankRuehl"/>
          <w:sz w:val="28"/>
          <w:szCs w:val="28"/>
          <w:rtl/>
        </w:rPr>
        <w:t>נהל; ואמון הציבור במערכת השלטונית</w:t>
      </w:r>
      <w:r w:rsidR="002F2F55">
        <w:rPr>
          <w:rFonts w:ascii="FrankRuehl" w:eastAsia="Calibri" w:hAnsi="FrankRuehl" w:cs="FrankRuehl" w:hint="cs"/>
          <w:sz w:val="28"/>
          <w:szCs w:val="28"/>
          <w:rtl/>
        </w:rPr>
        <w:t xml:space="preserve"> (</w:t>
      </w:r>
      <w:hyperlink r:id="rId9" w:history="1">
        <w:r w:rsidR="002F2F55" w:rsidRPr="00C872B0">
          <w:rPr>
            <w:rFonts w:ascii="FrankRuehl" w:eastAsia="Calibri" w:hAnsi="FrankRuehl" w:cs="FrankRuehl"/>
            <w:sz w:val="28"/>
            <w:szCs w:val="28"/>
            <w:rtl/>
          </w:rPr>
          <w:t>דנ"פ 10987/07</w:t>
        </w:r>
      </w:hyperlink>
      <w:r w:rsidR="002F2F55" w:rsidRPr="00C872B0">
        <w:rPr>
          <w:rFonts w:ascii="FrankRuehl" w:eastAsia="Calibri" w:hAnsi="FrankRuehl" w:cs="FrankRuehl"/>
          <w:sz w:val="28"/>
          <w:szCs w:val="28"/>
          <w:rtl/>
        </w:rPr>
        <w:t> </w:t>
      </w:r>
      <w:r w:rsidR="002F2F55" w:rsidRPr="002F2F55">
        <w:rPr>
          <w:rFonts w:ascii="FrankRuehl" w:eastAsia="Calibri" w:hAnsi="FrankRuehl" w:cs="FrankRuehl"/>
          <w:b/>
          <w:bCs/>
          <w:sz w:val="28"/>
          <w:szCs w:val="28"/>
          <w:rtl/>
        </w:rPr>
        <w:t>מדינת ישראל נ' כהן</w:t>
      </w:r>
      <w:r w:rsidR="002F2F55">
        <w:rPr>
          <w:rFonts w:ascii="FrankRuehl" w:eastAsia="Calibri" w:hAnsi="FrankRuehl" w:cs="FrankRuehl" w:hint="cs"/>
          <w:sz w:val="28"/>
          <w:szCs w:val="28"/>
          <w:rtl/>
        </w:rPr>
        <w:t xml:space="preserve"> </w:t>
      </w:r>
      <w:r w:rsidR="002F2F55" w:rsidRPr="00C872B0">
        <w:rPr>
          <w:rFonts w:ascii="FrankRuehl" w:eastAsia="Calibri" w:hAnsi="FrankRuehl" w:cs="FrankRuehl"/>
          <w:sz w:val="28"/>
          <w:szCs w:val="28"/>
          <w:rtl/>
        </w:rPr>
        <w:t>(2.3.2009)).</w:t>
      </w:r>
    </w:p>
    <w:p w:rsidR="005A2C61" w:rsidRDefault="00026FE9" w:rsidP="004F612A">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61.</w:t>
      </w:r>
      <w:r>
        <w:rPr>
          <w:rFonts w:ascii="FrankRuehl" w:eastAsia="Calibri" w:hAnsi="FrankRuehl" w:cs="FrankRuehl" w:hint="cs"/>
          <w:sz w:val="28"/>
          <w:szCs w:val="28"/>
          <w:rtl/>
        </w:rPr>
        <w:tab/>
      </w:r>
      <w:r w:rsidR="005A2C61">
        <w:rPr>
          <w:rFonts w:ascii="FrankRuehl" w:eastAsia="Calibri" w:hAnsi="FrankRuehl" w:cs="FrankRuehl" w:hint="cs"/>
          <w:sz w:val="28"/>
          <w:szCs w:val="28"/>
          <w:rtl/>
        </w:rPr>
        <w:t>האחריות המוטלת על עובדי ציבור הינה לפעול על פי החוק, לטובת הציבור ובהתאם למדיניות עליה הם אמונים. קידום אינטרסים אישיים של הנאשם באמצעות שימוש בכוחו כאיש רשות האוכלוסין וההגירה, עומדת בסתירה מוחלטת לחובה זו. מעשים מעין אלו פוגעים פגיעה קשה ברמתו ובתדמיתו המוסרי של השירות הציבורי, הנדרש לטוהר כפיים לתקינות פעילותו. טוהר השירות הציבורי הוא תנאי לאימון הציבור בו, ואימון הציבור בשירות הציבורי הוא תנאי הכרחי לפעילותו.</w:t>
      </w:r>
      <w:r w:rsidR="00C11CAB">
        <w:rPr>
          <w:rFonts w:ascii="FrankRuehl" w:eastAsia="Calibri" w:hAnsi="FrankRuehl" w:cs="FrankRuehl" w:hint="cs"/>
          <w:sz w:val="28"/>
          <w:szCs w:val="28"/>
          <w:rtl/>
        </w:rPr>
        <w:t xml:space="preserve"> משכך, עבירת השוחד עלולה להביא </w:t>
      </w:r>
      <w:r w:rsidR="005A2C61" w:rsidRPr="00C11CAB">
        <w:rPr>
          <w:rFonts w:ascii="FrankRuehl" w:eastAsia="Calibri" w:hAnsi="FrankRuehl" w:cs="FrankRuehl"/>
          <w:sz w:val="28"/>
          <w:szCs w:val="28"/>
          <w:rtl/>
        </w:rPr>
        <w:t>לפגיעה בחוסנה ובצביונה של החברה</w:t>
      </w:r>
      <w:r w:rsidR="005A2C61" w:rsidRPr="00C11CAB">
        <w:rPr>
          <w:rFonts w:ascii="FrankRuehl" w:eastAsia="Calibri" w:hAnsi="FrankRuehl" w:cs="FrankRuehl" w:hint="cs"/>
          <w:sz w:val="28"/>
          <w:szCs w:val="28"/>
          <w:rtl/>
        </w:rPr>
        <w:t xml:space="preserve"> (ע"פ 3927/16 </w:t>
      </w:r>
      <w:r w:rsidR="005A2C61" w:rsidRPr="00C11CAB">
        <w:rPr>
          <w:rFonts w:ascii="FrankRuehl" w:eastAsia="Calibri" w:hAnsi="FrankRuehl" w:cs="FrankRuehl" w:hint="cs"/>
          <w:b/>
          <w:bCs/>
          <w:sz w:val="28"/>
          <w:szCs w:val="28"/>
          <w:rtl/>
        </w:rPr>
        <w:t>מדינת ישראל נ' בר-זיו</w:t>
      </w:r>
      <w:r w:rsidR="005A2C61" w:rsidRPr="00C11CAB">
        <w:rPr>
          <w:rFonts w:ascii="FrankRuehl" w:eastAsia="Calibri" w:hAnsi="FrankRuehl" w:cs="FrankRuehl" w:hint="cs"/>
          <w:sz w:val="28"/>
          <w:szCs w:val="28"/>
          <w:rtl/>
        </w:rPr>
        <w:t xml:space="preserve"> (</w:t>
      </w:r>
      <w:r w:rsidR="004F612A">
        <w:rPr>
          <w:rFonts w:ascii="FrankRuehl" w:eastAsia="Calibri" w:hAnsi="FrankRuehl" w:cs="FrankRuehl" w:hint="cs"/>
          <w:sz w:val="28"/>
          <w:szCs w:val="28"/>
          <w:rtl/>
        </w:rPr>
        <w:t>23.02.17</w:t>
      </w:r>
      <w:r w:rsidR="005A2C61" w:rsidRPr="00C11CAB">
        <w:rPr>
          <w:rFonts w:ascii="FrankRuehl" w:eastAsia="Calibri" w:hAnsi="FrankRuehl" w:cs="FrankRuehl" w:hint="cs"/>
          <w:sz w:val="28"/>
          <w:szCs w:val="28"/>
          <w:rtl/>
        </w:rPr>
        <w:t>).</w:t>
      </w:r>
      <w:r w:rsidR="002F2F55">
        <w:rPr>
          <w:rFonts w:ascii="FrankRuehl" w:eastAsia="Calibri" w:hAnsi="FrankRuehl" w:cs="FrankRuehl" w:hint="cs"/>
          <w:sz w:val="28"/>
          <w:szCs w:val="28"/>
          <w:rtl/>
        </w:rPr>
        <w:t xml:space="preserve"> </w:t>
      </w:r>
      <w:hyperlink r:id="rId10" w:history="1">
        <w:r w:rsidR="002F2F55">
          <w:rPr>
            <w:rFonts w:ascii="FrankRuehl" w:eastAsia="Calibri" w:hAnsi="FrankRuehl" w:cs="FrankRuehl" w:hint="cs"/>
            <w:sz w:val="28"/>
            <w:szCs w:val="28"/>
            <w:rtl/>
          </w:rPr>
          <w:t>וראו גם: ד</w:t>
        </w:r>
        <w:r w:rsidR="002F2F55" w:rsidRPr="00C872B0">
          <w:rPr>
            <w:rFonts w:ascii="FrankRuehl" w:eastAsia="Calibri" w:hAnsi="FrankRuehl" w:cs="FrankRuehl"/>
            <w:sz w:val="28"/>
            <w:szCs w:val="28"/>
            <w:rtl/>
          </w:rPr>
          <w:t>נ"פ 10987/07</w:t>
        </w:r>
      </w:hyperlink>
      <w:r w:rsidR="002F2F55" w:rsidRPr="00C872B0">
        <w:rPr>
          <w:rFonts w:ascii="FrankRuehl" w:eastAsia="Calibri" w:hAnsi="FrankRuehl" w:cs="FrankRuehl"/>
          <w:sz w:val="28"/>
          <w:szCs w:val="28"/>
          <w:rtl/>
        </w:rPr>
        <w:t> </w:t>
      </w:r>
      <w:r w:rsidR="002F2F55">
        <w:rPr>
          <w:rFonts w:ascii="FrankRuehl" w:eastAsia="Calibri" w:hAnsi="FrankRuehl" w:cs="FrankRuehl" w:hint="cs"/>
          <w:sz w:val="28"/>
          <w:szCs w:val="28"/>
          <w:rtl/>
        </w:rPr>
        <w:t xml:space="preserve">בעניין </w:t>
      </w:r>
      <w:r w:rsidR="002F2F55" w:rsidRPr="001D0CEC">
        <w:rPr>
          <w:rFonts w:ascii="FrankRuehl" w:eastAsia="Calibri" w:hAnsi="FrankRuehl" w:cs="FrankRuehl"/>
          <w:b/>
          <w:bCs/>
          <w:sz w:val="28"/>
          <w:szCs w:val="28"/>
          <w:rtl/>
        </w:rPr>
        <w:t>כהן</w:t>
      </w:r>
      <w:r w:rsidR="002F2F55" w:rsidRPr="001D0CEC">
        <w:rPr>
          <w:rFonts w:ascii="FrankRuehl" w:eastAsia="Calibri" w:hAnsi="FrankRuehl" w:cs="FrankRuehl" w:hint="cs"/>
          <w:sz w:val="28"/>
          <w:szCs w:val="28"/>
          <w:rtl/>
        </w:rPr>
        <w:t xml:space="preserve">). </w:t>
      </w:r>
      <w:r w:rsidR="00C11CAB" w:rsidRPr="001D0CEC">
        <w:rPr>
          <w:rFonts w:ascii="FrankRuehl" w:eastAsia="Calibri" w:hAnsi="FrankRuehl" w:cs="FrankRuehl" w:hint="cs"/>
          <w:sz w:val="28"/>
          <w:szCs w:val="28"/>
          <w:rtl/>
        </w:rPr>
        <w:t xml:space="preserve">מטעם זה, עמד </w:t>
      </w:r>
      <w:r w:rsidR="005A2C61" w:rsidRPr="001D0CEC">
        <w:rPr>
          <w:rFonts w:ascii="FrankRuehl" w:eastAsia="Calibri" w:hAnsi="FrankRuehl" w:cs="FrankRuehl" w:hint="cs"/>
          <w:sz w:val="28"/>
          <w:szCs w:val="28"/>
          <w:rtl/>
        </w:rPr>
        <w:t xml:space="preserve">בית המשפט על כך שלא בכדי שובצה עבירת השוחד בתוך פרק ט' לחוק העונשין, שכותרתו "פגיעות בסדרי השלטון והמשפט" (ע"פ 4456/14 </w:t>
      </w:r>
      <w:r w:rsidR="005A2C61" w:rsidRPr="001D0CEC">
        <w:rPr>
          <w:rFonts w:ascii="FrankRuehl" w:eastAsia="Calibri" w:hAnsi="FrankRuehl" w:cs="FrankRuehl" w:hint="cs"/>
          <w:b/>
          <w:bCs/>
          <w:sz w:val="28"/>
          <w:szCs w:val="28"/>
          <w:rtl/>
        </w:rPr>
        <w:t>קלנר נ' מדינת ישראל</w:t>
      </w:r>
      <w:r w:rsidR="005A2C61" w:rsidRPr="001D0CEC">
        <w:rPr>
          <w:rFonts w:ascii="FrankRuehl" w:eastAsia="Calibri" w:hAnsi="FrankRuehl" w:cs="FrankRuehl" w:hint="cs"/>
          <w:sz w:val="28"/>
          <w:szCs w:val="28"/>
          <w:rtl/>
        </w:rPr>
        <w:t xml:space="preserve"> (29.</w:t>
      </w:r>
      <w:r w:rsidR="00C11CAB" w:rsidRPr="001D0CEC">
        <w:rPr>
          <w:rFonts w:ascii="FrankRuehl" w:eastAsia="Calibri" w:hAnsi="FrankRuehl" w:cs="FrankRuehl" w:hint="cs"/>
          <w:sz w:val="28"/>
          <w:szCs w:val="28"/>
          <w:rtl/>
        </w:rPr>
        <w:t xml:space="preserve">12.15)). </w:t>
      </w:r>
    </w:p>
    <w:p w:rsidR="005A2C61" w:rsidRDefault="00026FE9" w:rsidP="005A2C61">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62.</w:t>
      </w:r>
      <w:r>
        <w:rPr>
          <w:rFonts w:ascii="FrankRuehl" w:eastAsia="Calibri" w:hAnsi="FrankRuehl" w:cs="FrankRuehl" w:hint="cs"/>
          <w:sz w:val="28"/>
          <w:szCs w:val="28"/>
          <w:rtl/>
        </w:rPr>
        <w:tab/>
      </w:r>
      <w:r w:rsidR="005A2C61">
        <w:rPr>
          <w:rFonts w:ascii="FrankRuehl" w:eastAsia="Calibri" w:hAnsi="FrankRuehl" w:cs="FrankRuehl" w:hint="cs"/>
          <w:sz w:val="28"/>
          <w:szCs w:val="28"/>
          <w:rtl/>
        </w:rPr>
        <w:t xml:space="preserve">במקרה זה </w:t>
      </w:r>
      <w:r w:rsidR="002F2F55">
        <w:rPr>
          <w:rFonts w:ascii="FrankRuehl" w:eastAsia="Calibri" w:hAnsi="FrankRuehl" w:cs="FrankRuehl" w:hint="cs"/>
          <w:sz w:val="28"/>
          <w:szCs w:val="28"/>
          <w:rtl/>
        </w:rPr>
        <w:t xml:space="preserve">קיימת </w:t>
      </w:r>
      <w:r w:rsidR="005A2C61">
        <w:rPr>
          <w:rFonts w:ascii="FrankRuehl" w:eastAsia="Calibri" w:hAnsi="FrankRuehl" w:cs="FrankRuehl" w:hint="cs"/>
          <w:sz w:val="28"/>
          <w:szCs w:val="28"/>
          <w:rtl/>
        </w:rPr>
        <w:t>חומרה יתרה</w:t>
      </w:r>
      <w:r w:rsidR="002F2F55">
        <w:rPr>
          <w:rFonts w:ascii="FrankRuehl" w:eastAsia="Calibri" w:hAnsi="FrankRuehl" w:cs="FrankRuehl" w:hint="cs"/>
          <w:sz w:val="28"/>
          <w:szCs w:val="28"/>
          <w:rtl/>
        </w:rPr>
        <w:t>,</w:t>
      </w:r>
      <w:r w:rsidR="005A2C61">
        <w:rPr>
          <w:rFonts w:ascii="FrankRuehl" w:eastAsia="Calibri" w:hAnsi="FrankRuehl" w:cs="FrankRuehl" w:hint="cs"/>
          <w:sz w:val="28"/>
          <w:szCs w:val="28"/>
          <w:rtl/>
        </w:rPr>
        <w:t xml:space="preserve"> בשל כך שהשוחד נתבקש ונתקבל מנשים הנמנות על אוכלוסייה מוחלשת, שנדרשו לעזרתו של הנאשם. עובדה זו חייבה את הנאשם, בתוקף תפקידו, לזהירות מיוחדת. בפרט, נוכח המעמד המיוחד לו זכה, דבר שעלה מפיהם של כמעט כל העדים שהעידו, בכללם עובדי הרשות, כשלדעתו ניתן משקל משמעותי.    </w:t>
      </w:r>
    </w:p>
    <w:p w:rsidR="00F63D40" w:rsidRDefault="00026FE9" w:rsidP="004F612A">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63.</w:t>
      </w:r>
      <w:r>
        <w:rPr>
          <w:rFonts w:ascii="FrankRuehl" w:eastAsia="Calibri" w:hAnsi="FrankRuehl" w:cs="FrankRuehl" w:hint="cs"/>
          <w:sz w:val="28"/>
          <w:szCs w:val="28"/>
          <w:rtl/>
        </w:rPr>
        <w:tab/>
      </w:r>
      <w:r w:rsidR="00F63D40" w:rsidRPr="00F63D40">
        <w:rPr>
          <w:rFonts w:ascii="FrankRuehl" w:eastAsia="Calibri" w:hAnsi="FrankRuehl" w:cs="FrankRuehl" w:hint="cs"/>
          <w:sz w:val="28"/>
          <w:szCs w:val="28"/>
          <w:rtl/>
        </w:rPr>
        <w:t xml:space="preserve">חומרה נוספת קיימת בעבירת </w:t>
      </w:r>
      <w:r w:rsidR="00F63D40" w:rsidRPr="00F63D40">
        <w:rPr>
          <w:rFonts w:ascii="FrankRuehl" w:eastAsia="Calibri" w:hAnsi="FrankRuehl" w:cs="FrankRuehl"/>
          <w:sz w:val="28"/>
          <w:szCs w:val="28"/>
          <w:rtl/>
        </w:rPr>
        <w:t xml:space="preserve">השוחד, </w:t>
      </w:r>
      <w:r w:rsidR="00F63D40" w:rsidRPr="00F63D40">
        <w:rPr>
          <w:rFonts w:ascii="FrankRuehl" w:eastAsia="Calibri" w:hAnsi="FrankRuehl" w:cs="FrankRuehl" w:hint="cs"/>
          <w:sz w:val="28"/>
          <w:szCs w:val="28"/>
          <w:rtl/>
        </w:rPr>
        <w:t>בשל ה</w:t>
      </w:r>
      <w:r w:rsidR="00F63D40" w:rsidRPr="00F63D40">
        <w:rPr>
          <w:rFonts w:ascii="FrankRuehl" w:eastAsia="Calibri" w:hAnsi="FrankRuehl" w:cs="FrankRuehl"/>
          <w:sz w:val="28"/>
          <w:szCs w:val="28"/>
          <w:rtl/>
        </w:rPr>
        <w:t xml:space="preserve">קושי </w:t>
      </w:r>
      <w:r w:rsidR="00F63D40" w:rsidRPr="00F63D40">
        <w:rPr>
          <w:rFonts w:ascii="FrankRuehl" w:eastAsia="Calibri" w:hAnsi="FrankRuehl" w:cs="FrankRuehl" w:hint="cs"/>
          <w:sz w:val="28"/>
          <w:szCs w:val="28"/>
          <w:rtl/>
        </w:rPr>
        <w:t>ה</w:t>
      </w:r>
      <w:r w:rsidR="00F63D40" w:rsidRPr="00F63D40">
        <w:rPr>
          <w:rFonts w:ascii="FrankRuehl" w:eastAsia="Calibri" w:hAnsi="FrankRuehl" w:cs="FrankRuehl"/>
          <w:sz w:val="28"/>
          <w:szCs w:val="28"/>
          <w:rtl/>
        </w:rPr>
        <w:t>מיוחד שקיים</w:t>
      </w:r>
      <w:r w:rsidR="00F63D40" w:rsidRPr="00F63D40">
        <w:rPr>
          <w:rFonts w:ascii="FrankRuehl" w:eastAsia="Calibri" w:hAnsi="FrankRuehl" w:cs="FrankRuehl" w:hint="cs"/>
          <w:sz w:val="28"/>
          <w:szCs w:val="28"/>
          <w:rtl/>
        </w:rPr>
        <w:t xml:space="preserve"> בחשיפתה, </w:t>
      </w:r>
      <w:r w:rsidR="00F63D40" w:rsidRPr="00F63D40">
        <w:rPr>
          <w:rFonts w:ascii="FrankRuehl" w:eastAsia="Calibri" w:hAnsi="FrankRuehl" w:cs="FrankRuehl"/>
          <w:sz w:val="28"/>
          <w:szCs w:val="28"/>
          <w:rtl/>
        </w:rPr>
        <w:t xml:space="preserve">שכן בעבירות אלו כל המעורבים הם עושי עבירה שאין להם כמובן ענין בחשיפת המעשים, </w:t>
      </w:r>
      <w:r w:rsidR="00F63D40" w:rsidRPr="00F63D40">
        <w:rPr>
          <w:rFonts w:ascii="FrankRuehl" w:eastAsia="Calibri" w:hAnsi="FrankRuehl" w:cs="FrankRuehl" w:hint="cs"/>
          <w:sz w:val="28"/>
          <w:szCs w:val="28"/>
          <w:rtl/>
        </w:rPr>
        <w:t>כש</w:t>
      </w:r>
      <w:r w:rsidR="00F63D40" w:rsidRPr="00F63D40">
        <w:rPr>
          <w:rFonts w:ascii="FrankRuehl" w:eastAsia="Calibri" w:hAnsi="FrankRuehl" w:cs="FrankRuehl"/>
          <w:sz w:val="28"/>
          <w:szCs w:val="28"/>
          <w:rtl/>
        </w:rPr>
        <w:t xml:space="preserve">קורבן העבירה האמיתי הוא למעשה הציבור כולו. </w:t>
      </w:r>
      <w:r w:rsidR="00F63D40" w:rsidRPr="00F63D40">
        <w:rPr>
          <w:rFonts w:ascii="FrankRuehl" w:eastAsia="Calibri" w:hAnsi="FrankRuehl" w:cs="FrankRuehl" w:hint="cs"/>
          <w:sz w:val="28"/>
          <w:szCs w:val="28"/>
          <w:rtl/>
        </w:rPr>
        <w:t xml:space="preserve">בשל </w:t>
      </w:r>
      <w:r w:rsidR="00F63D40" w:rsidRPr="00F63D40">
        <w:rPr>
          <w:rFonts w:ascii="FrankRuehl" w:eastAsia="Calibri" w:hAnsi="FrankRuehl" w:cs="FrankRuehl"/>
          <w:sz w:val="28"/>
          <w:szCs w:val="28"/>
          <w:rtl/>
        </w:rPr>
        <w:t>קושי זה בחשיפת העבירות</w:t>
      </w:r>
      <w:r w:rsidR="00F63D40" w:rsidRPr="00F63D40">
        <w:rPr>
          <w:rFonts w:ascii="FrankRuehl" w:eastAsia="Calibri" w:hAnsi="FrankRuehl" w:cs="FrankRuehl" w:hint="cs"/>
          <w:sz w:val="28"/>
          <w:szCs w:val="28"/>
          <w:rtl/>
        </w:rPr>
        <w:t xml:space="preserve"> נקבע כי יש לתת </w:t>
      </w:r>
      <w:r w:rsidR="00F63D40" w:rsidRPr="00F63D40">
        <w:rPr>
          <w:rFonts w:ascii="FrankRuehl" w:eastAsia="Calibri" w:hAnsi="FrankRuehl" w:cs="FrankRuehl"/>
          <w:sz w:val="28"/>
          <w:szCs w:val="28"/>
          <w:rtl/>
        </w:rPr>
        <w:t>משקל מיוחד לשיקול של הרתעת הרבים</w:t>
      </w:r>
      <w:r w:rsidR="00F63D40" w:rsidRPr="00F63D40">
        <w:rPr>
          <w:rFonts w:ascii="FrankRuehl" w:eastAsia="Calibri" w:hAnsi="FrankRuehl" w:cs="FrankRuehl" w:hint="cs"/>
          <w:sz w:val="28"/>
          <w:szCs w:val="28"/>
          <w:rtl/>
        </w:rPr>
        <w:t xml:space="preserve"> במסגרת הענישה בעבירות מסוג זה </w:t>
      </w:r>
      <w:r>
        <w:rPr>
          <w:rFonts w:ascii="FrankRuehl" w:eastAsia="Calibri" w:hAnsi="FrankRuehl" w:cs="FrankRuehl" w:hint="cs"/>
          <w:sz w:val="28"/>
          <w:szCs w:val="28"/>
          <w:rtl/>
        </w:rPr>
        <w:t xml:space="preserve">"למען יראו וייראו" </w:t>
      </w:r>
      <w:r w:rsidR="00F63D40" w:rsidRPr="00F63D40">
        <w:rPr>
          <w:rFonts w:ascii="FrankRuehl" w:eastAsia="Calibri" w:hAnsi="FrankRuehl" w:cs="FrankRuehl" w:hint="cs"/>
          <w:sz w:val="28"/>
          <w:szCs w:val="28"/>
          <w:rtl/>
        </w:rPr>
        <w:t xml:space="preserve">(ע"פ 267/13 </w:t>
      </w:r>
      <w:r w:rsidR="00F63D40" w:rsidRPr="009B370D">
        <w:rPr>
          <w:rFonts w:ascii="FrankRuehl" w:eastAsia="Calibri" w:hAnsi="FrankRuehl" w:cs="FrankRuehl" w:hint="cs"/>
          <w:b/>
          <w:bCs/>
          <w:sz w:val="28"/>
          <w:szCs w:val="28"/>
          <w:rtl/>
        </w:rPr>
        <w:t>מדינת ישראל נ' לוי</w:t>
      </w:r>
      <w:r w:rsidR="00F63D40" w:rsidRPr="00F63D40">
        <w:rPr>
          <w:rFonts w:ascii="FrankRuehl" w:eastAsia="Calibri" w:hAnsi="FrankRuehl" w:cs="FrankRuehl" w:hint="cs"/>
          <w:sz w:val="28"/>
          <w:szCs w:val="28"/>
          <w:rtl/>
        </w:rPr>
        <w:t xml:space="preserve"> (23.06.13);</w:t>
      </w:r>
      <w:r w:rsidR="004F612A">
        <w:rPr>
          <w:rFonts w:ascii="FrankRuehl" w:hAnsi="FrankRuehl" w:cs="FrankRuehl" w:hint="cs"/>
          <w:b/>
          <w:bCs/>
          <w:color w:val="000000"/>
          <w:sz w:val="28"/>
          <w:szCs w:val="28"/>
          <w:rtl/>
        </w:rPr>
        <w:t xml:space="preserve"> </w:t>
      </w:r>
      <w:r w:rsidR="004F612A" w:rsidRPr="004F612A">
        <w:rPr>
          <w:rFonts w:ascii="FrankRuehl" w:hAnsi="FrankRuehl" w:cs="FrankRuehl"/>
          <w:color w:val="000000"/>
          <w:sz w:val="28"/>
          <w:szCs w:val="28"/>
          <w:rtl/>
        </w:rPr>
        <w:t>רע</w:t>
      </w:r>
      <w:r w:rsidR="004F612A" w:rsidRPr="004F612A">
        <w:rPr>
          <w:rFonts w:ascii="FrankRuehl" w:hAnsi="FrankRuehl" w:cs="FrankRuehl" w:hint="cs"/>
          <w:color w:val="000000"/>
          <w:sz w:val="28"/>
          <w:szCs w:val="28"/>
          <w:rtl/>
        </w:rPr>
        <w:t>"</w:t>
      </w:r>
      <w:r w:rsidR="004F612A" w:rsidRPr="004F612A">
        <w:rPr>
          <w:rFonts w:ascii="FrankRuehl" w:hAnsi="FrankRuehl" w:cs="FrankRuehl"/>
          <w:color w:val="000000"/>
          <w:sz w:val="28"/>
          <w:szCs w:val="28"/>
          <w:rtl/>
        </w:rPr>
        <w:t>פ 3292/15</w:t>
      </w:r>
      <w:r w:rsidR="004F612A">
        <w:rPr>
          <w:rFonts w:ascii="FrankRuehl" w:hAnsi="FrankRuehl" w:cs="FrankRuehl"/>
          <w:b/>
          <w:bCs/>
          <w:color w:val="000000"/>
          <w:sz w:val="28"/>
          <w:szCs w:val="28"/>
          <w:rtl/>
        </w:rPr>
        <w:t xml:space="preserve"> לחיאני נ' מדינת ישראל</w:t>
      </w:r>
      <w:r w:rsidR="004F612A">
        <w:rPr>
          <w:rFonts w:ascii="FrankRuehl" w:eastAsia="Calibri" w:hAnsi="FrankRuehl" w:cs="FrankRuehl" w:hint="cs"/>
          <w:sz w:val="28"/>
          <w:szCs w:val="28"/>
          <w:rtl/>
        </w:rPr>
        <w:t xml:space="preserve"> (17.11.15); </w:t>
      </w:r>
      <w:r>
        <w:rPr>
          <w:rFonts w:ascii="FrankRuehl" w:eastAsia="Calibri" w:hAnsi="FrankRuehl" w:cs="FrankRuehl" w:hint="cs"/>
          <w:sz w:val="28"/>
          <w:szCs w:val="28"/>
          <w:rtl/>
        </w:rPr>
        <w:t xml:space="preserve">ע"פ 240/16 </w:t>
      </w:r>
      <w:r w:rsidRPr="009B370D">
        <w:rPr>
          <w:rFonts w:ascii="FrankRuehl" w:eastAsia="Calibri" w:hAnsi="FrankRuehl" w:cs="FrankRuehl" w:hint="cs"/>
          <w:b/>
          <w:bCs/>
          <w:sz w:val="28"/>
          <w:szCs w:val="28"/>
          <w:rtl/>
        </w:rPr>
        <w:t>מדינת ישראל נ' פלוני</w:t>
      </w:r>
      <w:r>
        <w:rPr>
          <w:rFonts w:ascii="FrankRuehl" w:eastAsia="Calibri" w:hAnsi="FrankRuehl" w:cs="FrankRuehl" w:hint="cs"/>
          <w:sz w:val="28"/>
          <w:szCs w:val="28"/>
          <w:rtl/>
        </w:rPr>
        <w:t xml:space="preserve"> </w:t>
      </w:r>
      <w:r w:rsidR="00F63D40" w:rsidRPr="009B370D">
        <w:rPr>
          <w:rFonts w:ascii="FrankRuehl" w:eastAsia="Calibri" w:hAnsi="FrankRuehl" w:cs="FrankRuehl"/>
          <w:sz w:val="28"/>
          <w:szCs w:val="28"/>
          <w:rtl/>
        </w:rPr>
        <w:t>(11.</w:t>
      </w:r>
      <w:r w:rsidRPr="009B370D">
        <w:rPr>
          <w:rFonts w:ascii="FrankRuehl" w:eastAsia="Calibri" w:hAnsi="FrankRuehl" w:cs="FrankRuehl" w:hint="cs"/>
          <w:sz w:val="28"/>
          <w:szCs w:val="28"/>
          <w:rtl/>
        </w:rPr>
        <w:t>0</w:t>
      </w:r>
      <w:r w:rsidR="00F63D40" w:rsidRPr="009B370D">
        <w:rPr>
          <w:rFonts w:ascii="FrankRuehl" w:eastAsia="Calibri" w:hAnsi="FrankRuehl" w:cs="FrankRuehl"/>
          <w:sz w:val="28"/>
          <w:szCs w:val="28"/>
          <w:rtl/>
        </w:rPr>
        <w:t>1.2017)</w:t>
      </w:r>
      <w:r w:rsidRPr="009B370D">
        <w:rPr>
          <w:rFonts w:ascii="FrankRuehl" w:eastAsia="Calibri" w:hAnsi="FrankRuehl" w:cs="FrankRuehl" w:hint="cs"/>
          <w:sz w:val="28"/>
          <w:szCs w:val="28"/>
          <w:rtl/>
        </w:rPr>
        <w:t xml:space="preserve">; </w:t>
      </w:r>
      <w:r w:rsidR="00F63D40" w:rsidRPr="009B370D">
        <w:rPr>
          <w:rFonts w:ascii="FrankRuehl" w:eastAsia="Calibri" w:hAnsi="FrankRuehl" w:cs="FrankRuehl" w:hint="cs"/>
          <w:sz w:val="28"/>
          <w:szCs w:val="28"/>
          <w:rtl/>
        </w:rPr>
        <w:t>ע"פ 3972/16 בעניין בר-זיו</w:t>
      </w:r>
      <w:r w:rsidR="009D7969" w:rsidRPr="009B370D">
        <w:rPr>
          <w:rFonts w:ascii="FrankRuehl" w:eastAsia="Calibri" w:hAnsi="FrankRuehl" w:cs="FrankRuehl" w:hint="cs"/>
          <w:sz w:val="28"/>
          <w:szCs w:val="28"/>
          <w:rtl/>
        </w:rPr>
        <w:t xml:space="preserve">; ע"פ 449/11 </w:t>
      </w:r>
      <w:r w:rsidR="009D7969" w:rsidRPr="009B370D">
        <w:rPr>
          <w:rFonts w:ascii="FrankRuehl" w:eastAsia="Calibri" w:hAnsi="FrankRuehl" w:cs="FrankRuehl" w:hint="cs"/>
          <w:b/>
          <w:bCs/>
          <w:sz w:val="28"/>
          <w:szCs w:val="28"/>
          <w:rtl/>
        </w:rPr>
        <w:t>חג'ג' נ' מדינת ישראל</w:t>
      </w:r>
      <w:r w:rsidR="009D7969" w:rsidRPr="009B370D">
        <w:rPr>
          <w:rFonts w:ascii="FrankRuehl" w:eastAsia="Calibri" w:hAnsi="FrankRuehl" w:cs="FrankRuehl" w:hint="cs"/>
          <w:sz w:val="28"/>
          <w:szCs w:val="28"/>
          <w:rtl/>
        </w:rPr>
        <w:t xml:space="preserve"> (19.05.11); </w:t>
      </w:r>
      <w:r w:rsidR="009D7969">
        <w:rPr>
          <w:rFonts w:ascii="FrankRuehl" w:eastAsia="Calibri" w:hAnsi="FrankRuehl" w:cs="FrankRuehl" w:hint="cs"/>
          <w:sz w:val="28"/>
          <w:szCs w:val="28"/>
          <w:rtl/>
        </w:rPr>
        <w:t xml:space="preserve">ע"פ 1188/20 </w:t>
      </w:r>
      <w:r w:rsidR="009D7969" w:rsidRPr="009B370D">
        <w:rPr>
          <w:rFonts w:ascii="FrankRuehl" w:eastAsia="Calibri" w:hAnsi="FrankRuehl" w:cs="FrankRuehl" w:hint="cs"/>
          <w:b/>
          <w:bCs/>
          <w:sz w:val="28"/>
          <w:szCs w:val="28"/>
          <w:rtl/>
        </w:rPr>
        <w:t xml:space="preserve">מדינת ישראל נ' נניקשווילי </w:t>
      </w:r>
      <w:r w:rsidR="009D7969">
        <w:rPr>
          <w:rFonts w:ascii="FrankRuehl" w:eastAsia="Calibri" w:hAnsi="FrankRuehl" w:cs="FrankRuehl" w:hint="cs"/>
          <w:sz w:val="28"/>
          <w:szCs w:val="28"/>
          <w:rtl/>
        </w:rPr>
        <w:t>(6.01.22)).</w:t>
      </w:r>
    </w:p>
    <w:p w:rsidR="009D7969" w:rsidRPr="009B370D" w:rsidRDefault="009D7969" w:rsidP="009D7969">
      <w:pPr>
        <w:spacing w:after="160" w:line="360" w:lineRule="auto"/>
        <w:jc w:val="both"/>
        <w:rPr>
          <w:rFonts w:ascii="FrankRuehl" w:eastAsia="Calibri" w:hAnsi="FrankRuehl" w:cs="FrankRuehl"/>
          <w:sz w:val="28"/>
          <w:szCs w:val="28"/>
          <w:rtl/>
        </w:rPr>
      </w:pPr>
    </w:p>
    <w:p w:rsidR="006B6367" w:rsidRDefault="00026FE9" w:rsidP="00072A92">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64.</w:t>
      </w:r>
      <w:r>
        <w:rPr>
          <w:rFonts w:ascii="FrankRuehl" w:eastAsia="Calibri" w:hAnsi="FrankRuehl" w:cs="FrankRuehl" w:hint="cs"/>
          <w:sz w:val="28"/>
          <w:szCs w:val="28"/>
          <w:rtl/>
        </w:rPr>
        <w:tab/>
        <w:t xml:space="preserve">בשל כל אלו, עמד </w:t>
      </w:r>
      <w:r w:rsidR="00455B70">
        <w:rPr>
          <w:rFonts w:ascii="FrankRuehl" w:eastAsia="Calibri" w:hAnsi="FrankRuehl" w:cs="FrankRuehl" w:hint="cs"/>
          <w:sz w:val="28"/>
          <w:szCs w:val="28"/>
          <w:rtl/>
        </w:rPr>
        <w:t>בית המשפט</w:t>
      </w:r>
      <w:r>
        <w:rPr>
          <w:rFonts w:ascii="FrankRuehl" w:eastAsia="Calibri" w:hAnsi="FrankRuehl" w:cs="FrankRuehl" w:hint="cs"/>
          <w:sz w:val="28"/>
          <w:szCs w:val="28"/>
          <w:rtl/>
        </w:rPr>
        <w:t>,</w:t>
      </w:r>
      <w:r w:rsidR="00455B70">
        <w:rPr>
          <w:rFonts w:ascii="FrankRuehl" w:eastAsia="Calibri" w:hAnsi="FrankRuehl" w:cs="FrankRuehl" w:hint="cs"/>
          <w:sz w:val="28"/>
          <w:szCs w:val="28"/>
          <w:rtl/>
        </w:rPr>
        <w:t xml:space="preserve"> לא פעם</w:t>
      </w:r>
      <w:r>
        <w:rPr>
          <w:rFonts w:ascii="FrankRuehl" w:eastAsia="Calibri" w:hAnsi="FrankRuehl" w:cs="FrankRuehl" w:hint="cs"/>
          <w:sz w:val="28"/>
          <w:szCs w:val="28"/>
          <w:rtl/>
        </w:rPr>
        <w:t>,</w:t>
      </w:r>
      <w:r w:rsidR="00455B70">
        <w:rPr>
          <w:rFonts w:ascii="FrankRuehl" w:eastAsia="Calibri" w:hAnsi="FrankRuehl" w:cs="FrankRuehl" w:hint="cs"/>
          <w:sz w:val="28"/>
          <w:szCs w:val="28"/>
          <w:rtl/>
        </w:rPr>
        <w:t xml:space="preserve"> על הצורך בענישה מחמירה נגד נבחרי ציבור שחטאו בשחיתות (ע"פ 3295/15 </w:t>
      </w:r>
      <w:r w:rsidR="00455B70" w:rsidRPr="009B370D">
        <w:rPr>
          <w:rFonts w:ascii="FrankRuehl" w:eastAsia="Calibri" w:hAnsi="FrankRuehl" w:cs="FrankRuehl" w:hint="cs"/>
          <w:sz w:val="28"/>
          <w:szCs w:val="28"/>
          <w:rtl/>
        </w:rPr>
        <w:t>מדינ</w:t>
      </w:r>
      <w:r w:rsidR="00455B70" w:rsidRPr="009B370D">
        <w:rPr>
          <w:rFonts w:ascii="FrankRuehl" w:eastAsia="Calibri" w:hAnsi="FrankRuehl" w:cs="FrankRuehl" w:hint="cs"/>
          <w:b/>
          <w:bCs/>
          <w:sz w:val="28"/>
          <w:szCs w:val="28"/>
          <w:rtl/>
        </w:rPr>
        <w:t xml:space="preserve">ת ישראל נ' גפסו </w:t>
      </w:r>
      <w:r w:rsidR="00455B70">
        <w:rPr>
          <w:rFonts w:ascii="FrankRuehl" w:eastAsia="Calibri" w:hAnsi="FrankRuehl" w:cs="FrankRuehl" w:hint="cs"/>
          <w:sz w:val="28"/>
          <w:szCs w:val="28"/>
          <w:rtl/>
        </w:rPr>
        <w:t>(</w:t>
      </w:r>
      <w:r w:rsidR="00F41492">
        <w:rPr>
          <w:rFonts w:ascii="FrankRuehl" w:eastAsia="Calibri" w:hAnsi="FrankRuehl" w:cs="FrankRuehl" w:hint="cs"/>
          <w:sz w:val="28"/>
          <w:szCs w:val="28"/>
          <w:rtl/>
        </w:rPr>
        <w:t>31.03.16</w:t>
      </w:r>
      <w:r w:rsidR="00455B70">
        <w:rPr>
          <w:rFonts w:ascii="FrankRuehl" w:eastAsia="Calibri" w:hAnsi="FrankRuehl" w:cs="FrankRuehl" w:hint="cs"/>
          <w:sz w:val="28"/>
          <w:szCs w:val="28"/>
          <w:rtl/>
        </w:rPr>
        <w:t xml:space="preserve">). </w:t>
      </w:r>
      <w:r w:rsidR="00402EAB">
        <w:rPr>
          <w:rFonts w:ascii="FrankRuehl" w:eastAsia="Calibri" w:hAnsi="FrankRuehl" w:cs="FrankRuehl" w:hint="cs"/>
          <w:sz w:val="28"/>
          <w:szCs w:val="28"/>
          <w:rtl/>
        </w:rPr>
        <w:t xml:space="preserve">משכך, </w:t>
      </w:r>
      <w:r w:rsidR="00072A92">
        <w:rPr>
          <w:rFonts w:ascii="FrankRuehl" w:eastAsia="Calibri" w:hAnsi="FrankRuehl" w:cs="FrankRuehl" w:hint="cs"/>
          <w:sz w:val="28"/>
          <w:szCs w:val="28"/>
          <w:rtl/>
        </w:rPr>
        <w:t xml:space="preserve">נאמר לא פעם </w:t>
      </w:r>
      <w:r w:rsidR="00402EAB">
        <w:rPr>
          <w:rFonts w:ascii="FrankRuehl" w:eastAsia="Calibri" w:hAnsi="FrankRuehl" w:cs="FrankRuehl" w:hint="cs"/>
          <w:sz w:val="28"/>
          <w:szCs w:val="28"/>
          <w:rtl/>
        </w:rPr>
        <w:t xml:space="preserve">כי </w:t>
      </w:r>
      <w:r w:rsidR="008F6A41">
        <w:rPr>
          <w:rFonts w:ascii="FrankRuehl" w:eastAsia="Calibri" w:hAnsi="FrankRuehl" w:cs="FrankRuehl" w:hint="cs"/>
          <w:sz w:val="28"/>
          <w:szCs w:val="28"/>
          <w:rtl/>
        </w:rPr>
        <w:t xml:space="preserve">מקבל </w:t>
      </w:r>
      <w:r w:rsidR="008F6A41">
        <w:rPr>
          <w:rFonts w:ascii="FrankRuehl" w:eastAsia="Calibri" w:hAnsi="FrankRuehl" w:cs="FrankRuehl" w:hint="cs"/>
          <w:sz w:val="28"/>
          <w:szCs w:val="28"/>
          <w:rtl/>
        </w:rPr>
        <w:lastRenderedPageBreak/>
        <w:t>שוחד דינו מאסר</w:t>
      </w:r>
      <w:r>
        <w:rPr>
          <w:rFonts w:ascii="FrankRuehl" w:eastAsia="Calibri" w:hAnsi="FrankRuehl" w:cs="FrankRuehl" w:hint="cs"/>
          <w:sz w:val="28"/>
          <w:szCs w:val="28"/>
          <w:rtl/>
        </w:rPr>
        <w:t xml:space="preserve"> בפועל, כשחריגה מכלל זה מותרת רק בהתקיים נסיבות יוצאות דופן (</w:t>
      </w:r>
      <w:r w:rsidR="00C11CAB" w:rsidRPr="00C11CAB">
        <w:rPr>
          <w:rFonts w:ascii="FrankRuehl" w:eastAsia="Calibri" w:hAnsi="FrankRuehl" w:cs="FrankRuehl" w:hint="cs"/>
          <w:sz w:val="28"/>
          <w:szCs w:val="28"/>
          <w:rtl/>
        </w:rPr>
        <w:t>ע"פ 4456/14</w:t>
      </w:r>
      <w:r>
        <w:rPr>
          <w:rFonts w:ascii="FrankRuehl" w:eastAsia="Calibri" w:hAnsi="FrankRuehl" w:cs="FrankRuehl" w:hint="cs"/>
          <w:sz w:val="28"/>
          <w:szCs w:val="28"/>
          <w:rtl/>
        </w:rPr>
        <w:t xml:space="preserve"> בעניין</w:t>
      </w:r>
      <w:r w:rsidR="00C11CAB" w:rsidRPr="00C11CAB">
        <w:rPr>
          <w:rFonts w:ascii="FrankRuehl" w:eastAsia="Calibri" w:hAnsi="FrankRuehl" w:cs="FrankRuehl" w:hint="cs"/>
          <w:sz w:val="28"/>
          <w:szCs w:val="28"/>
          <w:rtl/>
        </w:rPr>
        <w:t xml:space="preserve"> </w:t>
      </w:r>
      <w:r w:rsidR="00C11CAB" w:rsidRPr="009B370D">
        <w:rPr>
          <w:rFonts w:ascii="FrankRuehl" w:eastAsia="Calibri" w:hAnsi="FrankRuehl" w:cs="FrankRuehl" w:hint="cs"/>
          <w:b/>
          <w:bCs/>
          <w:sz w:val="28"/>
          <w:szCs w:val="28"/>
          <w:rtl/>
        </w:rPr>
        <w:t>קל</w:t>
      </w:r>
      <w:r w:rsidRPr="009B370D">
        <w:rPr>
          <w:rFonts w:ascii="FrankRuehl" w:eastAsia="Calibri" w:hAnsi="FrankRuehl" w:cs="FrankRuehl" w:hint="cs"/>
          <w:b/>
          <w:bCs/>
          <w:sz w:val="28"/>
          <w:szCs w:val="28"/>
          <w:rtl/>
        </w:rPr>
        <w:t>נר</w:t>
      </w:r>
      <w:r w:rsidRPr="00026FE9">
        <w:rPr>
          <w:rFonts w:ascii="FrankRuehl" w:eastAsia="Calibri" w:hAnsi="FrankRuehl" w:cs="FrankRuehl" w:hint="cs"/>
          <w:sz w:val="28"/>
          <w:szCs w:val="28"/>
          <w:rtl/>
        </w:rPr>
        <w:t>;</w:t>
      </w:r>
      <w:r w:rsidRPr="009B370D">
        <w:rPr>
          <w:rFonts w:ascii="FrankRuehl" w:eastAsia="Calibri" w:hAnsi="FrankRuehl" w:cs="FrankRuehl" w:hint="cs"/>
          <w:sz w:val="28"/>
          <w:szCs w:val="28"/>
          <w:rtl/>
        </w:rPr>
        <w:t xml:space="preserve"> ע"פ 6564/04 </w:t>
      </w:r>
      <w:r w:rsidRPr="009B370D">
        <w:rPr>
          <w:rFonts w:ascii="FrankRuehl" w:eastAsia="Calibri" w:hAnsi="FrankRuehl" w:cs="FrankRuehl" w:hint="cs"/>
          <w:b/>
          <w:bCs/>
          <w:sz w:val="28"/>
          <w:szCs w:val="28"/>
          <w:rtl/>
        </w:rPr>
        <w:t>סטויה נ' מדינת ישראל</w:t>
      </w:r>
      <w:r w:rsidRPr="009B370D">
        <w:rPr>
          <w:rFonts w:ascii="FrankRuehl" w:eastAsia="Calibri" w:hAnsi="FrankRuehl" w:cs="FrankRuehl" w:hint="cs"/>
          <w:sz w:val="28"/>
          <w:szCs w:val="28"/>
          <w:rtl/>
        </w:rPr>
        <w:t xml:space="preserve"> </w:t>
      </w:r>
      <w:r w:rsidR="00C11CAB" w:rsidRPr="009B370D">
        <w:rPr>
          <w:rFonts w:ascii="FrankRuehl" w:eastAsia="Calibri" w:hAnsi="FrankRuehl" w:cs="FrankRuehl"/>
          <w:sz w:val="28"/>
          <w:szCs w:val="28"/>
          <w:rtl/>
        </w:rPr>
        <w:t>(18.10.</w:t>
      </w:r>
      <w:r w:rsidR="009D7969" w:rsidRPr="009B370D">
        <w:rPr>
          <w:rFonts w:ascii="FrankRuehl" w:eastAsia="Calibri" w:hAnsi="FrankRuehl" w:cs="FrankRuehl"/>
          <w:sz w:val="28"/>
          <w:szCs w:val="28"/>
          <w:rtl/>
        </w:rPr>
        <w:t>04)</w:t>
      </w:r>
      <w:r w:rsidR="009D7969" w:rsidRPr="009B370D">
        <w:rPr>
          <w:rFonts w:ascii="FrankRuehl" w:eastAsia="Calibri" w:hAnsi="FrankRuehl" w:cs="FrankRuehl" w:hint="cs"/>
          <w:sz w:val="28"/>
          <w:szCs w:val="28"/>
          <w:rtl/>
        </w:rPr>
        <w:t xml:space="preserve">; ע"פ 5189/08 </w:t>
      </w:r>
      <w:r w:rsidR="009D7969" w:rsidRPr="009B370D">
        <w:rPr>
          <w:rFonts w:ascii="FrankRuehl" w:eastAsia="Calibri" w:hAnsi="FrankRuehl" w:cs="FrankRuehl" w:hint="cs"/>
          <w:b/>
          <w:bCs/>
          <w:sz w:val="28"/>
          <w:szCs w:val="28"/>
          <w:rtl/>
        </w:rPr>
        <w:t>מדינת ישראל נ' בניזרי</w:t>
      </w:r>
      <w:r w:rsidR="009D7969" w:rsidRPr="009B370D">
        <w:rPr>
          <w:rFonts w:ascii="FrankRuehl" w:eastAsia="Calibri" w:hAnsi="FrankRuehl" w:cs="FrankRuehl" w:hint="cs"/>
          <w:sz w:val="28"/>
          <w:szCs w:val="28"/>
          <w:rtl/>
        </w:rPr>
        <w:t xml:space="preserve"> (24.06.09); ע"פ 3609/14 </w:t>
      </w:r>
      <w:r w:rsidR="009D7969" w:rsidRPr="009B370D">
        <w:rPr>
          <w:rFonts w:ascii="FrankRuehl" w:eastAsia="Calibri" w:hAnsi="FrankRuehl" w:cs="FrankRuehl" w:hint="cs"/>
          <w:b/>
          <w:bCs/>
          <w:sz w:val="28"/>
          <w:szCs w:val="28"/>
          <w:rtl/>
        </w:rPr>
        <w:t>מדינת ישראל נ' אלסין</w:t>
      </w:r>
      <w:r w:rsidR="009D7969" w:rsidRPr="009B370D">
        <w:rPr>
          <w:rFonts w:ascii="FrankRuehl" w:eastAsia="Calibri" w:hAnsi="FrankRuehl" w:cs="FrankRuehl" w:hint="cs"/>
          <w:sz w:val="28"/>
          <w:szCs w:val="28"/>
          <w:rtl/>
        </w:rPr>
        <w:t xml:space="preserve"> (20.10.14)).</w:t>
      </w:r>
      <w:r w:rsidR="009B370D" w:rsidRPr="009B370D">
        <w:rPr>
          <w:rFonts w:ascii="FrankRuehl" w:eastAsia="Calibri" w:hAnsi="FrankRuehl" w:cs="FrankRuehl" w:hint="cs"/>
          <w:sz w:val="28"/>
          <w:szCs w:val="28"/>
          <w:rtl/>
        </w:rPr>
        <w:t xml:space="preserve"> ואולם, </w:t>
      </w:r>
      <w:r w:rsidR="009B370D">
        <w:rPr>
          <w:rFonts w:ascii="FrankRuehl" w:eastAsia="Calibri" w:hAnsi="FrankRuehl" w:cs="FrankRuehl" w:hint="cs"/>
          <w:sz w:val="28"/>
          <w:szCs w:val="28"/>
          <w:rtl/>
        </w:rPr>
        <w:t xml:space="preserve">לצד מקרים רבים שבהתאם לאמור נקבעה ענישה של מאסר בפועל לתקופה ארוכה בגין מקרה שוחד אחד, ישנם מקרים לא מעטים של ענישה במאסר בעבודות שירות </w:t>
      </w:r>
      <w:r w:rsidR="00072A92">
        <w:rPr>
          <w:rFonts w:ascii="FrankRuehl" w:eastAsia="Calibri" w:hAnsi="FrankRuehl" w:cs="FrankRuehl" w:hint="cs"/>
          <w:sz w:val="28"/>
          <w:szCs w:val="28"/>
          <w:rtl/>
        </w:rPr>
        <w:t xml:space="preserve">גם במקרים בהם מדובר היה על </w:t>
      </w:r>
      <w:r w:rsidR="009B370D">
        <w:rPr>
          <w:rFonts w:ascii="FrankRuehl" w:eastAsia="Calibri" w:hAnsi="FrankRuehl" w:cs="FrankRuehl" w:hint="cs"/>
          <w:sz w:val="28"/>
          <w:szCs w:val="28"/>
          <w:rtl/>
        </w:rPr>
        <w:t xml:space="preserve">מספר מקרי שוחד. הכל בהתאם לנסיבות של כל מקרה ומקרה. </w:t>
      </w:r>
      <w:r w:rsidR="006B6367">
        <w:rPr>
          <w:rFonts w:ascii="FrankRuehl" w:eastAsia="Calibri" w:hAnsi="FrankRuehl" w:cs="FrankRuehl" w:hint="cs"/>
          <w:sz w:val="28"/>
          <w:szCs w:val="28"/>
          <w:rtl/>
        </w:rPr>
        <w:t xml:space="preserve">ויש אפוא, לבחון את נסיבות עבירות השוחד בהן הורשע הנאשם.   </w:t>
      </w:r>
    </w:p>
    <w:p w:rsidR="002E0EB2" w:rsidRDefault="00AC2B97" w:rsidP="00D508C1">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65.</w:t>
      </w:r>
      <w:r>
        <w:rPr>
          <w:rFonts w:ascii="FrankRuehl" w:eastAsia="Calibri" w:hAnsi="FrankRuehl" w:cs="FrankRuehl" w:hint="cs"/>
          <w:sz w:val="28"/>
          <w:szCs w:val="28"/>
          <w:rtl/>
        </w:rPr>
        <w:tab/>
      </w:r>
      <w:r w:rsidR="009B370D">
        <w:rPr>
          <w:rFonts w:ascii="FrankRuehl" w:eastAsia="Calibri" w:hAnsi="FrankRuehl" w:cs="FrankRuehl" w:hint="cs"/>
          <w:sz w:val="28"/>
          <w:szCs w:val="28"/>
          <w:rtl/>
        </w:rPr>
        <w:t xml:space="preserve">במקרה זה, הנאשם הורשע בעבירת שוחד בשלושה אישומים. </w:t>
      </w:r>
      <w:r w:rsidR="009B370D" w:rsidRPr="00C872B0">
        <w:rPr>
          <w:rFonts w:ascii="FrankRuehl" w:eastAsia="Calibri" w:hAnsi="FrankRuehl" w:cs="FrankRuehl"/>
          <w:sz w:val="28"/>
          <w:szCs w:val="28"/>
          <w:rtl/>
        </w:rPr>
        <w:t>סעיף </w:t>
      </w:r>
      <w:hyperlink r:id="rId11" w:history="1">
        <w:r w:rsidR="009B370D" w:rsidRPr="00C872B0">
          <w:rPr>
            <w:rFonts w:ascii="FrankRuehl" w:eastAsia="Calibri" w:hAnsi="FrankRuehl" w:cs="FrankRuehl"/>
            <w:sz w:val="28"/>
            <w:szCs w:val="28"/>
            <w:rtl/>
          </w:rPr>
          <w:t>294 (א)</w:t>
        </w:r>
      </w:hyperlink>
      <w:r w:rsidR="009B370D" w:rsidRPr="00C872B0">
        <w:rPr>
          <w:rFonts w:ascii="FrankRuehl" w:eastAsia="Calibri" w:hAnsi="FrankRuehl" w:cs="FrankRuehl"/>
          <w:sz w:val="28"/>
          <w:szCs w:val="28"/>
          <w:rtl/>
        </w:rPr>
        <w:t> ל</w:t>
      </w:r>
      <w:hyperlink r:id="rId12" w:history="1">
        <w:r w:rsidR="009B370D" w:rsidRPr="00C872B0">
          <w:rPr>
            <w:rFonts w:ascii="FrankRuehl" w:eastAsia="Calibri" w:hAnsi="FrankRuehl" w:cs="FrankRuehl"/>
            <w:sz w:val="28"/>
            <w:szCs w:val="28"/>
            <w:rtl/>
          </w:rPr>
          <w:t>חוק העונשין</w:t>
        </w:r>
      </w:hyperlink>
      <w:r w:rsidR="009B370D" w:rsidRPr="00C872B0">
        <w:rPr>
          <w:rFonts w:ascii="FrankRuehl" w:eastAsia="Calibri" w:hAnsi="FrankRuehl" w:cs="FrankRuehl"/>
          <w:sz w:val="28"/>
          <w:szCs w:val="28"/>
          <w:rtl/>
        </w:rPr>
        <w:t> קובע כי "המבקש או המתנה שוחד, אף שלא נענה, כמוהו כלוקח שוחד". הוראת החוק יוצרת הקבלה בין קבלת שוחד לבקשת שוחד וזאת, בעיקר, נוכח החפיפה בערכים המוגנים הרלוונטיים לעבירה זאת. יחד עם זאת, לא יכולה להיות מחלוקת כי עוצמת הפגיעה בערכים המוגנים גבוהה יותר שעה שמדובר ב"עסקת שוחד" שהושלמה, ביחס לבקשת שוחד שלא הבשילה עד תומה.</w:t>
      </w:r>
    </w:p>
    <w:p w:rsidR="009B370D" w:rsidRDefault="00AC2B97" w:rsidP="001B2284">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66.</w:t>
      </w:r>
      <w:r>
        <w:rPr>
          <w:rFonts w:ascii="FrankRuehl" w:eastAsia="Calibri" w:hAnsi="FrankRuehl" w:cs="FrankRuehl" w:hint="cs"/>
          <w:sz w:val="28"/>
          <w:szCs w:val="28"/>
          <w:rtl/>
        </w:rPr>
        <w:tab/>
      </w:r>
      <w:r w:rsidR="009B370D">
        <w:rPr>
          <w:rFonts w:ascii="FrankRuehl" w:eastAsia="Calibri" w:hAnsi="FrankRuehl" w:cs="FrankRuehl" w:hint="cs"/>
          <w:sz w:val="28"/>
          <w:szCs w:val="28"/>
          <w:rtl/>
        </w:rPr>
        <w:t xml:space="preserve">לכן, יש להבחין בין </w:t>
      </w:r>
      <w:r w:rsidR="009B370D" w:rsidRPr="00F41492">
        <w:rPr>
          <w:rFonts w:ascii="FrankRuehl" w:eastAsia="Calibri" w:hAnsi="FrankRuehl" w:cs="FrankRuehl" w:hint="cs"/>
          <w:sz w:val="28"/>
          <w:szCs w:val="28"/>
          <w:rtl/>
        </w:rPr>
        <w:t>האישומים</w:t>
      </w:r>
      <w:r w:rsidR="00F41492" w:rsidRPr="00F41492">
        <w:rPr>
          <w:rFonts w:ascii="FrankRuehl" w:eastAsia="Calibri" w:hAnsi="FrankRuehl" w:cs="FrankRuehl" w:hint="cs"/>
          <w:sz w:val="28"/>
          <w:szCs w:val="28"/>
          <w:rtl/>
        </w:rPr>
        <w:t xml:space="preserve"> השני והשלישי,</w:t>
      </w:r>
      <w:r w:rsidR="009B370D" w:rsidRPr="00F41492">
        <w:rPr>
          <w:rFonts w:ascii="FrankRuehl" w:eastAsia="Calibri" w:hAnsi="FrankRuehl" w:cs="FrankRuehl" w:hint="cs"/>
          <w:sz w:val="28"/>
          <w:szCs w:val="28"/>
          <w:rtl/>
        </w:rPr>
        <w:t xml:space="preserve"> בהם לא ניתנה התמורה אותה שאף הנאשם לקבל ושבאו לידי ביטוי בבקשותיו מ</w:t>
      </w:r>
      <w:r w:rsidR="00F41492" w:rsidRPr="00F41492">
        <w:rPr>
          <w:rFonts w:ascii="FrankRuehl" w:eastAsia="Calibri" w:hAnsi="FrankRuehl" w:cs="FrankRuehl" w:hint="cs"/>
          <w:sz w:val="28"/>
          <w:szCs w:val="28"/>
          <w:rtl/>
        </w:rPr>
        <w:t>י' ומו' ובשיחות בעלות האופי המיני שניהל עמהן, תוך כדי ואחרי הטיפול בעניינן</w:t>
      </w:r>
      <w:r w:rsidR="009B370D" w:rsidRPr="00F41492">
        <w:rPr>
          <w:rFonts w:ascii="FrankRuehl" w:eastAsia="Calibri" w:hAnsi="FrankRuehl" w:cs="FrankRuehl" w:hint="cs"/>
          <w:sz w:val="28"/>
          <w:szCs w:val="28"/>
          <w:rtl/>
        </w:rPr>
        <w:t xml:space="preserve">, כשלעניין זה יצוין </w:t>
      </w:r>
      <w:r w:rsidR="001B2284">
        <w:rPr>
          <w:rFonts w:ascii="FrankRuehl" w:eastAsia="Calibri" w:hAnsi="FrankRuehl" w:cs="FrankRuehl" w:hint="cs"/>
          <w:sz w:val="28"/>
          <w:szCs w:val="28"/>
          <w:rtl/>
        </w:rPr>
        <w:t>כי כפי שנקבע בהכרעת הדין (סעיף 271</w:t>
      </w:r>
      <w:r w:rsidR="009B370D">
        <w:rPr>
          <w:rFonts w:ascii="FrankRuehl" w:eastAsia="Calibri" w:hAnsi="FrankRuehl" w:cs="FrankRuehl" w:hint="cs"/>
          <w:sz w:val="28"/>
          <w:szCs w:val="28"/>
          <w:rtl/>
        </w:rPr>
        <w:t>) בשיחות עצמן אין לראות כקבלת שוחד; לבין האישום ה</w:t>
      </w:r>
      <w:r w:rsidR="00F41492">
        <w:rPr>
          <w:rFonts w:ascii="FrankRuehl" w:eastAsia="Calibri" w:hAnsi="FrankRuehl" w:cs="FrankRuehl" w:hint="cs"/>
          <w:sz w:val="28"/>
          <w:szCs w:val="28"/>
          <w:rtl/>
        </w:rPr>
        <w:t>חמישי,</w:t>
      </w:r>
      <w:r w:rsidR="009B370D">
        <w:rPr>
          <w:rFonts w:ascii="FrankRuehl" w:eastAsia="Calibri" w:hAnsi="FrankRuehl" w:cs="FrankRuehl" w:hint="cs"/>
          <w:sz w:val="28"/>
          <w:szCs w:val="28"/>
          <w:rtl/>
        </w:rPr>
        <w:t xml:space="preserve"> במסגרתו </w:t>
      </w:r>
      <w:r w:rsidR="006B6367">
        <w:rPr>
          <w:rFonts w:ascii="FrankRuehl" w:eastAsia="Calibri" w:hAnsi="FrankRuehl" w:cs="FrankRuehl" w:hint="cs"/>
          <w:sz w:val="28"/>
          <w:szCs w:val="28"/>
          <w:rtl/>
        </w:rPr>
        <w:t>השוחד נתקבל ו</w:t>
      </w:r>
      <w:r w:rsidR="00F41492">
        <w:rPr>
          <w:rFonts w:ascii="FrankRuehl" w:eastAsia="Calibri" w:hAnsi="FrankRuehl" w:cs="FrankRuehl" w:hint="cs"/>
          <w:sz w:val="28"/>
          <w:szCs w:val="28"/>
          <w:rtl/>
        </w:rPr>
        <w:t xml:space="preserve">ט' קיימה </w:t>
      </w:r>
      <w:r w:rsidR="006B6367">
        <w:rPr>
          <w:rFonts w:ascii="FrankRuehl" w:eastAsia="Calibri" w:hAnsi="FrankRuehl" w:cs="FrankRuehl" w:hint="cs"/>
          <w:sz w:val="28"/>
          <w:szCs w:val="28"/>
          <w:rtl/>
        </w:rPr>
        <w:t>י</w:t>
      </w:r>
      <w:r w:rsidR="00F41492">
        <w:rPr>
          <w:rFonts w:ascii="FrankRuehl" w:eastAsia="Calibri" w:hAnsi="FrankRuehl" w:cs="FrankRuehl" w:hint="cs"/>
          <w:sz w:val="28"/>
          <w:szCs w:val="28"/>
          <w:rtl/>
        </w:rPr>
        <w:t xml:space="preserve">חסי מין עם הנאשם כתמורה לסיוע שהעניק לה ברשות. </w:t>
      </w:r>
    </w:p>
    <w:p w:rsidR="00A32109" w:rsidRDefault="00AC2B97" w:rsidP="001B2284">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67.</w:t>
      </w:r>
      <w:r>
        <w:rPr>
          <w:rFonts w:ascii="FrankRuehl" w:eastAsia="Calibri" w:hAnsi="FrankRuehl" w:cs="FrankRuehl" w:hint="cs"/>
          <w:sz w:val="28"/>
          <w:szCs w:val="28"/>
          <w:rtl/>
        </w:rPr>
        <w:tab/>
      </w:r>
      <w:r w:rsidR="006B6367">
        <w:rPr>
          <w:rFonts w:ascii="FrankRuehl" w:eastAsia="Calibri" w:hAnsi="FrankRuehl" w:cs="FrankRuehl" w:hint="cs"/>
          <w:sz w:val="28"/>
          <w:szCs w:val="28"/>
          <w:rtl/>
        </w:rPr>
        <w:t>אכן, ל</w:t>
      </w:r>
      <w:r w:rsidR="00A32109">
        <w:rPr>
          <w:rFonts w:ascii="FrankRuehl" w:eastAsia="Calibri" w:hAnsi="FrankRuehl" w:cs="FrankRuehl" w:hint="cs"/>
          <w:sz w:val="28"/>
          <w:szCs w:val="28"/>
          <w:rtl/>
        </w:rPr>
        <w:t>א הוצגו ראיות על דבר סיכום מפורש בין הנאשם לבין הנשים. ואולם, נסיבות העניין מלמדות כי</w:t>
      </w:r>
      <w:r w:rsidR="001B2284">
        <w:rPr>
          <w:rFonts w:ascii="FrankRuehl" w:eastAsia="Calibri" w:hAnsi="FrankRuehl" w:cs="FrankRuehl" w:hint="cs"/>
          <w:sz w:val="28"/>
          <w:szCs w:val="28"/>
          <w:rtl/>
        </w:rPr>
        <w:t xml:space="preserve"> הנאשם ידע, בוודאי צריך היה לדעת, כי הן חסרות יכולת ממשית לסרב לשתף פעולה עם התוכן המיני של שיחותיו שביקשו מצדו של הנאשם להביא לקיום יחסי מין. </w:t>
      </w:r>
      <w:r w:rsidR="00A32109">
        <w:rPr>
          <w:rFonts w:ascii="FrankRuehl" w:eastAsia="Calibri" w:hAnsi="FrankRuehl" w:cs="FrankRuehl" w:hint="cs"/>
          <w:sz w:val="28"/>
          <w:szCs w:val="28"/>
          <w:rtl/>
        </w:rPr>
        <w:t>חומרת מקרה זה נעוצה דווקא בכך שלא היה צורך בסיכו</w:t>
      </w:r>
      <w:r w:rsidR="001B2284">
        <w:rPr>
          <w:rFonts w:ascii="FrankRuehl" w:eastAsia="Calibri" w:hAnsi="FrankRuehl" w:cs="FrankRuehl" w:hint="cs"/>
          <w:sz w:val="28"/>
          <w:szCs w:val="28"/>
          <w:rtl/>
        </w:rPr>
        <w:t>ם מפורש. הנאשם ניצל את תלותן של הנאשמות בו</w:t>
      </w:r>
      <w:r w:rsidR="000A1BAF">
        <w:rPr>
          <w:rFonts w:ascii="FrankRuehl" w:eastAsia="Calibri" w:hAnsi="FrankRuehl" w:cs="FrankRuehl" w:hint="cs"/>
          <w:sz w:val="28"/>
          <w:szCs w:val="28"/>
          <w:rtl/>
        </w:rPr>
        <w:t xml:space="preserve">, כדי להביא אותן לתת לו תמורה בדרך של קיום יחסי מין "בעד" הפעילות השלטונית שעשה עבורן. </w:t>
      </w:r>
    </w:p>
    <w:p w:rsidR="006B6367" w:rsidRPr="006B6367" w:rsidRDefault="00AC2B97" w:rsidP="001D0CEC">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68.</w:t>
      </w:r>
      <w:r>
        <w:rPr>
          <w:rFonts w:ascii="FrankRuehl" w:eastAsia="Calibri" w:hAnsi="FrankRuehl" w:cs="FrankRuehl" w:hint="cs"/>
          <w:sz w:val="28"/>
          <w:szCs w:val="28"/>
          <w:rtl/>
        </w:rPr>
        <w:tab/>
      </w:r>
      <w:r w:rsidR="006B6367">
        <w:rPr>
          <w:rFonts w:ascii="FrankRuehl" w:eastAsia="Calibri" w:hAnsi="FrankRuehl" w:cs="FrankRuehl" w:hint="cs"/>
          <w:sz w:val="28"/>
          <w:szCs w:val="28"/>
          <w:rtl/>
        </w:rPr>
        <w:t xml:space="preserve">באשר לתכנון </w:t>
      </w:r>
      <w:r w:rsidR="006B6367" w:rsidRPr="006B6367">
        <w:rPr>
          <w:rFonts w:ascii="FrankRuehl" w:eastAsia="Calibri" w:hAnsi="FrankRuehl" w:cs="FrankRuehl"/>
          <w:sz w:val="28"/>
          <w:szCs w:val="28"/>
          <w:rtl/>
        </w:rPr>
        <w:t>שקדם לביצוע העבירה</w:t>
      </w:r>
      <w:r w:rsidR="006B6367">
        <w:rPr>
          <w:rFonts w:ascii="FrankRuehl" w:eastAsia="Calibri" w:hAnsi="FrankRuehl" w:cs="FrankRuehl" w:hint="cs"/>
          <w:sz w:val="28"/>
          <w:szCs w:val="28"/>
          <w:rtl/>
        </w:rPr>
        <w:t>, המאשימה טענה לאורך כל ההליך כי</w:t>
      </w:r>
      <w:r w:rsidR="000A1BAF">
        <w:rPr>
          <w:rFonts w:ascii="FrankRuehl" w:eastAsia="Calibri" w:hAnsi="FrankRuehl" w:cs="FrankRuehl" w:hint="cs"/>
          <w:sz w:val="28"/>
          <w:szCs w:val="28"/>
          <w:rtl/>
        </w:rPr>
        <w:t xml:space="preserve"> הנאשם פעל בדפוס קבוע לאתר נשים מסוימות מבין הפונות לרשות כדי לקבל מהן מתת בדרך של קיום יחסי מין בעד פעולותיו השלטוניות בעניינן. </w:t>
      </w:r>
      <w:r w:rsidR="006B6367">
        <w:rPr>
          <w:rFonts w:ascii="FrankRuehl" w:eastAsia="Calibri" w:hAnsi="FrankRuehl" w:cs="FrankRuehl" w:hint="cs"/>
          <w:sz w:val="28"/>
          <w:szCs w:val="28"/>
          <w:rtl/>
        </w:rPr>
        <w:t>ואולם במסגרת הכרעת הדין (</w:t>
      </w:r>
      <w:r w:rsidR="00E4240F">
        <w:rPr>
          <w:rFonts w:ascii="FrankRuehl" w:eastAsia="Calibri" w:hAnsi="FrankRuehl" w:cs="FrankRuehl" w:hint="cs"/>
          <w:sz w:val="28"/>
          <w:szCs w:val="28"/>
          <w:rtl/>
        </w:rPr>
        <w:t>סעיפים 153-148</w:t>
      </w:r>
      <w:r w:rsidR="006B6367">
        <w:rPr>
          <w:rFonts w:ascii="FrankRuehl" w:eastAsia="Calibri" w:hAnsi="FrankRuehl" w:cs="FrankRuehl" w:hint="cs"/>
          <w:sz w:val="28"/>
          <w:szCs w:val="28"/>
          <w:rtl/>
        </w:rPr>
        <w:t>) נקבע כי</w:t>
      </w:r>
      <w:r w:rsidR="00E4240F">
        <w:rPr>
          <w:rFonts w:ascii="FrankRuehl" w:eastAsia="Calibri" w:hAnsi="FrankRuehl" w:cs="FrankRuehl" w:hint="cs"/>
          <w:sz w:val="28"/>
          <w:szCs w:val="28"/>
          <w:rtl/>
        </w:rPr>
        <w:t xml:space="preserve"> לא הוכח </w:t>
      </w:r>
      <w:r w:rsidR="00E4240F">
        <w:rPr>
          <w:rFonts w:ascii="FrankRuehl" w:hAnsi="FrankRuehl" w:cs="FrankRuehl" w:hint="cs"/>
          <w:sz w:val="28"/>
          <w:szCs w:val="28"/>
          <w:rtl/>
        </w:rPr>
        <w:t>ש</w:t>
      </w:r>
      <w:r w:rsidR="00E4240F">
        <w:rPr>
          <w:rFonts w:ascii="FrankRuehl" w:hAnsi="FrankRuehl" w:cs="FrankRuehl"/>
          <w:sz w:val="28"/>
          <w:szCs w:val="28"/>
          <w:rtl/>
        </w:rPr>
        <w:t>הנאשם פעל באופן שיטתי</w:t>
      </w:r>
      <w:r w:rsidR="00E4240F">
        <w:rPr>
          <w:rFonts w:ascii="FrankRuehl" w:hAnsi="FrankRuehl" w:cs="FrankRuehl" w:hint="cs"/>
          <w:sz w:val="28"/>
          <w:szCs w:val="28"/>
          <w:rtl/>
        </w:rPr>
        <w:t xml:space="preserve">. משהנאשם זוכה מלא מעט מהאישומים שיוחסו לו, אין מקום </w:t>
      </w:r>
      <w:r w:rsidR="00E4240F">
        <w:rPr>
          <w:rFonts w:ascii="FrankRuehl" w:hAnsi="FrankRuehl" w:cs="FrankRuehl" w:hint="cs"/>
          <w:sz w:val="28"/>
          <w:szCs w:val="28"/>
          <w:rtl/>
        </w:rPr>
        <w:lastRenderedPageBreak/>
        <w:t>לקבוע מעבר לכך</w:t>
      </w:r>
      <w:r w:rsidR="001D0CEC">
        <w:rPr>
          <w:rFonts w:ascii="FrankRuehl" w:hAnsi="FrankRuehl" w:cs="FrankRuehl" w:hint="cs"/>
          <w:sz w:val="28"/>
          <w:szCs w:val="28"/>
          <w:rtl/>
        </w:rPr>
        <w:t>,</w:t>
      </w:r>
      <w:r w:rsidR="00E4240F">
        <w:rPr>
          <w:rFonts w:ascii="FrankRuehl" w:hAnsi="FrankRuehl" w:cs="FrankRuehl" w:hint="cs"/>
          <w:sz w:val="28"/>
          <w:szCs w:val="28"/>
          <w:rtl/>
        </w:rPr>
        <w:t xml:space="preserve"> שהנאשם ניצל הזדמנויות שנקלעו לידו. </w:t>
      </w:r>
      <w:r w:rsidR="006B6367">
        <w:rPr>
          <w:rFonts w:ascii="FrankRuehl" w:eastAsia="Calibri" w:hAnsi="FrankRuehl" w:cs="FrankRuehl" w:hint="cs"/>
          <w:sz w:val="28"/>
          <w:szCs w:val="28"/>
          <w:rtl/>
        </w:rPr>
        <w:t>נסיבות ביצוע העבירות גם א</w:t>
      </w:r>
      <w:r w:rsidR="006B6367" w:rsidRPr="006B6367">
        <w:rPr>
          <w:rFonts w:ascii="FrankRuehl" w:eastAsia="Calibri" w:hAnsi="FrankRuehl" w:cs="FrankRuehl"/>
          <w:sz w:val="28"/>
          <w:szCs w:val="28"/>
          <w:rtl/>
        </w:rPr>
        <w:t>ינו מלמד על דרגת תחכום בביצוע העבירה או על ירידה לפרטים מצידו של הנאשם</w:t>
      </w:r>
      <w:r w:rsidR="006B6367">
        <w:rPr>
          <w:rFonts w:ascii="FrankRuehl" w:eastAsia="Calibri" w:hAnsi="FrankRuehl" w:cs="FrankRuehl" w:hint="cs"/>
          <w:sz w:val="28"/>
          <w:szCs w:val="28"/>
          <w:rtl/>
        </w:rPr>
        <w:t xml:space="preserve">, מעבר לעובדה הנעוצה באופיים של המעשים, ההכרה של הנאשם בצורך החשוב של הנשים בעזרתו של הנאשם, ובקושי הרב שלהן לסרב לו, שעה שהן נדרשות או יידרשו בעתיד לסיוע שלו מתוקף תפקידו ומעמדו. </w:t>
      </w:r>
    </w:p>
    <w:p w:rsidR="006B6367" w:rsidRDefault="00AC2B97" w:rsidP="00B4735B">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69.</w:t>
      </w:r>
      <w:r>
        <w:rPr>
          <w:rFonts w:ascii="FrankRuehl" w:eastAsia="Calibri" w:hAnsi="FrankRuehl" w:cs="FrankRuehl" w:hint="cs"/>
          <w:sz w:val="28"/>
          <w:szCs w:val="28"/>
          <w:rtl/>
        </w:rPr>
        <w:tab/>
      </w:r>
      <w:r w:rsidR="006B6367">
        <w:rPr>
          <w:rFonts w:ascii="FrankRuehl" w:eastAsia="Calibri" w:hAnsi="FrankRuehl" w:cs="FrankRuehl" w:hint="cs"/>
          <w:sz w:val="28"/>
          <w:szCs w:val="28"/>
          <w:rtl/>
        </w:rPr>
        <w:t>במסגרת זה יש לציין את מעמדו של הנאשם, כפי שעלה ממכלול העדויות, כמי ש</w:t>
      </w:r>
      <w:r w:rsidR="00B4735B">
        <w:rPr>
          <w:rFonts w:ascii="FrankRuehl" w:hAnsi="FrankRuehl" w:cs="FrankRuehl"/>
          <w:sz w:val="28"/>
          <w:szCs w:val="28"/>
          <w:rtl/>
        </w:rPr>
        <w:t xml:space="preserve">הוכר בקרב רבים מבני הקהילה האתיופית בישראל כבכיר ברשות ההגירה וכבעל כוח והשפעה, וכמי שניתן לפנות אליו לקבלת סיוע בעניינים הקשורים לתפקידו. </w:t>
      </w:r>
    </w:p>
    <w:p w:rsidR="006B6367" w:rsidRDefault="00AC2B97" w:rsidP="003A1E48">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70.</w:t>
      </w:r>
      <w:r>
        <w:rPr>
          <w:rFonts w:ascii="FrankRuehl" w:eastAsia="Calibri" w:hAnsi="FrankRuehl" w:cs="FrankRuehl" w:hint="cs"/>
          <w:sz w:val="28"/>
          <w:szCs w:val="28"/>
          <w:rtl/>
        </w:rPr>
        <w:tab/>
      </w:r>
      <w:r w:rsidR="0012203E">
        <w:rPr>
          <w:rFonts w:ascii="FrankRuehl" w:eastAsia="Calibri" w:hAnsi="FrankRuehl" w:cs="FrankRuehl" w:hint="cs"/>
          <w:sz w:val="28"/>
          <w:szCs w:val="28"/>
          <w:rtl/>
        </w:rPr>
        <w:t xml:space="preserve">הנזק שנגרם מביצוע העבירות הוא כאמור, בפגיעה באמון הציבור בעובדי הציבור וטוהר מידותיהם, לצד הפגיעה בנשים שנאלצו לעמוד מול מאווייו של הנאשם, ובמקרה אחד אף להיעתר לו, מתוך חשש שיבולע להן. העובדה שהמתת לא הייתה ממונית כי אם בדרך של קיום יחסי מין מעמידה את המעשים בחומרה רבה ומכוערת יותר. </w:t>
      </w:r>
    </w:p>
    <w:p w:rsidR="003A1E48" w:rsidRDefault="00AC2B97" w:rsidP="00B4735B">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71.</w:t>
      </w:r>
      <w:r>
        <w:rPr>
          <w:rFonts w:ascii="FrankRuehl" w:eastAsia="Calibri" w:hAnsi="FrankRuehl" w:cs="FrankRuehl" w:hint="cs"/>
          <w:sz w:val="28"/>
          <w:szCs w:val="28"/>
          <w:rtl/>
        </w:rPr>
        <w:tab/>
      </w:r>
      <w:r w:rsidR="003A1E48">
        <w:rPr>
          <w:rFonts w:ascii="FrankRuehl" w:eastAsia="Calibri" w:hAnsi="FrankRuehl" w:cs="FrankRuehl" w:hint="cs"/>
          <w:sz w:val="28"/>
          <w:szCs w:val="28"/>
          <w:rtl/>
        </w:rPr>
        <w:t xml:space="preserve">לצד זאת, חשוב לציין כי כפי שנקבע בהכרעת הדין </w:t>
      </w:r>
      <w:r w:rsidR="00B4735B">
        <w:rPr>
          <w:rFonts w:ascii="FrankRuehl" w:eastAsia="Calibri" w:hAnsi="FrankRuehl" w:cs="FrankRuehl" w:hint="cs"/>
          <w:sz w:val="28"/>
          <w:szCs w:val="28"/>
          <w:rtl/>
        </w:rPr>
        <w:t xml:space="preserve">באישומים השלישי והחמישי </w:t>
      </w:r>
      <w:r w:rsidR="003A1E48">
        <w:rPr>
          <w:rFonts w:ascii="FrankRuehl" w:eastAsia="Calibri" w:hAnsi="FrankRuehl" w:cs="FrankRuehl" w:hint="cs"/>
          <w:sz w:val="28"/>
          <w:szCs w:val="28"/>
          <w:rtl/>
        </w:rPr>
        <w:t>לא הוכחה סטייה מהשורה מצדו של הנאשם בעיסוק בעניינם של הנשים.</w:t>
      </w:r>
      <w:r w:rsidR="00B4735B">
        <w:rPr>
          <w:rFonts w:ascii="FrankRuehl" w:eastAsia="Calibri" w:hAnsi="FrankRuehl" w:cs="FrankRuehl" w:hint="cs"/>
          <w:sz w:val="28"/>
          <w:szCs w:val="28"/>
          <w:rtl/>
        </w:rPr>
        <w:t xml:space="preserve"> כך באישום השלישי, בעניינה של ו', נקבע כי הטיפול מול טדי בקונסוליה באדיס אבבה היה בהתאם לסיכום עם פנינה, וכך באישום החמישי בנוגע לטיפול בעניינה של ט'. לעומת זאת, באישום השני, הטיפול בעניינה של י' חרג מהשורה בכך שהנאשם לא פעל כנדרש בשים לב לפרידתה של י' מבן זוגה. אם כי, בסופו של יום י' שוהה בישראל כדין. </w:t>
      </w:r>
      <w:r w:rsidR="003A1E48">
        <w:rPr>
          <w:rFonts w:ascii="FrankRuehl" w:eastAsia="Calibri" w:hAnsi="FrankRuehl" w:cs="FrankRuehl" w:hint="cs"/>
          <w:sz w:val="28"/>
          <w:szCs w:val="28"/>
          <w:rtl/>
        </w:rPr>
        <w:t xml:space="preserve"> </w:t>
      </w:r>
    </w:p>
    <w:p w:rsidR="003A1E48" w:rsidRDefault="00AC2B97" w:rsidP="006E1087">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72.</w:t>
      </w:r>
      <w:r>
        <w:rPr>
          <w:rFonts w:ascii="FrankRuehl" w:eastAsia="Calibri" w:hAnsi="FrankRuehl" w:cs="FrankRuehl" w:hint="cs"/>
          <w:sz w:val="28"/>
          <w:szCs w:val="28"/>
          <w:rtl/>
        </w:rPr>
        <w:tab/>
      </w:r>
      <w:r w:rsidR="003A1E48">
        <w:rPr>
          <w:rFonts w:ascii="FrankRuehl" w:eastAsia="Calibri" w:hAnsi="FrankRuehl" w:cs="FrankRuehl" w:hint="cs"/>
          <w:sz w:val="28"/>
          <w:szCs w:val="28"/>
          <w:rtl/>
        </w:rPr>
        <w:t xml:space="preserve">עוד יש לציין, כי למעשה, העבירות בהן הורשע הנאשם בוצעו על ידו כולן </w:t>
      </w:r>
      <w:r w:rsidR="00AE3DB0">
        <w:rPr>
          <w:rFonts w:ascii="FrankRuehl" w:eastAsia="Calibri" w:hAnsi="FrankRuehl" w:cs="FrankRuehl" w:hint="cs"/>
          <w:sz w:val="28"/>
          <w:szCs w:val="28"/>
          <w:rtl/>
        </w:rPr>
        <w:t xml:space="preserve">במהלך </w:t>
      </w:r>
      <w:r w:rsidR="00AA431D">
        <w:rPr>
          <w:rFonts w:ascii="FrankRuehl" w:eastAsia="Calibri" w:hAnsi="FrankRuehl" w:cs="FrankRuehl" w:hint="cs"/>
          <w:sz w:val="28"/>
          <w:szCs w:val="28"/>
          <w:rtl/>
        </w:rPr>
        <w:t>שבועות ספורים מ</w:t>
      </w:r>
      <w:r w:rsidR="006E1087">
        <w:rPr>
          <w:rFonts w:ascii="FrankRuehl" w:eastAsia="Calibri" w:hAnsi="FrankRuehl" w:cs="FrankRuehl" w:hint="cs"/>
          <w:sz w:val="28"/>
          <w:szCs w:val="28"/>
          <w:rtl/>
        </w:rPr>
        <w:t>ס</w:t>
      </w:r>
      <w:r w:rsidR="00AA431D">
        <w:rPr>
          <w:rFonts w:ascii="FrankRuehl" w:eastAsia="Calibri" w:hAnsi="FrankRuehl" w:cs="FrankRuehl" w:hint="cs"/>
          <w:sz w:val="28"/>
          <w:szCs w:val="28"/>
          <w:rtl/>
        </w:rPr>
        <w:t>ו</w:t>
      </w:r>
      <w:r w:rsidR="006E1087">
        <w:rPr>
          <w:rFonts w:ascii="FrankRuehl" w:eastAsia="Calibri" w:hAnsi="FrankRuehl" w:cs="FrankRuehl" w:hint="cs"/>
          <w:sz w:val="28"/>
          <w:szCs w:val="28"/>
          <w:rtl/>
        </w:rPr>
        <w:t xml:space="preserve">ף חודש ינואר 2016 עד מחצית חודש פברואר של אותה שנה, לצד פנייה אחת לט' (באישום השלישי) בחודש מאי 2015.  </w:t>
      </w:r>
      <w:r w:rsidR="00AE3DB0">
        <w:rPr>
          <w:rFonts w:ascii="FrankRuehl" w:eastAsia="Calibri" w:hAnsi="FrankRuehl" w:cs="FrankRuehl" w:hint="cs"/>
          <w:sz w:val="28"/>
          <w:szCs w:val="28"/>
          <w:rtl/>
        </w:rPr>
        <w:t xml:space="preserve"> </w:t>
      </w:r>
    </w:p>
    <w:p w:rsidR="003A1E48" w:rsidRDefault="003A1E48" w:rsidP="003A1E48">
      <w:pPr>
        <w:spacing w:after="160" w:line="360" w:lineRule="auto"/>
        <w:jc w:val="both"/>
        <w:rPr>
          <w:rFonts w:ascii="FrankRuehl" w:eastAsia="Calibri" w:hAnsi="FrankRuehl" w:cs="FrankRuehl"/>
          <w:sz w:val="28"/>
          <w:szCs w:val="28"/>
          <w:rtl/>
        </w:rPr>
      </w:pPr>
    </w:p>
    <w:p w:rsidR="003A1E48" w:rsidRDefault="00AC2B97" w:rsidP="003A1E48">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73.</w:t>
      </w:r>
      <w:r>
        <w:rPr>
          <w:rFonts w:ascii="FrankRuehl" w:eastAsia="Calibri" w:hAnsi="FrankRuehl" w:cs="FrankRuehl" w:hint="cs"/>
          <w:sz w:val="28"/>
          <w:szCs w:val="28"/>
          <w:rtl/>
        </w:rPr>
        <w:tab/>
      </w:r>
      <w:r w:rsidR="003A1E48">
        <w:rPr>
          <w:rFonts w:ascii="FrankRuehl" w:eastAsia="Calibri" w:hAnsi="FrankRuehl" w:cs="FrankRuehl" w:hint="cs"/>
          <w:sz w:val="28"/>
          <w:szCs w:val="28"/>
          <w:rtl/>
        </w:rPr>
        <w:t xml:space="preserve">מכאן אפנה לבחינת הפסיקה הנוהגת במקרים דומים, או כאלו שניתן ללמוד מהם לעניינו. במסגרת זו אציין גם את הפסיקה שהוצגה על ידי ב"כ הצדדים, כשמטבעם של דברים, כל אחד מהם התמקד בגזרי דין התומכים בעמדתו, אלו לחומרא ואלו לקולא. </w:t>
      </w:r>
    </w:p>
    <w:p w:rsidR="003A1E48" w:rsidRDefault="003A1E48" w:rsidP="003A1E48">
      <w:pPr>
        <w:spacing w:after="160" w:line="360" w:lineRule="auto"/>
        <w:jc w:val="both"/>
        <w:rPr>
          <w:rFonts w:ascii="FrankRuehl" w:eastAsia="Calibri" w:hAnsi="FrankRuehl" w:cs="FrankRuehl"/>
          <w:sz w:val="28"/>
          <w:szCs w:val="28"/>
          <w:rtl/>
        </w:rPr>
      </w:pPr>
    </w:p>
    <w:p w:rsidR="000B0A13" w:rsidRPr="000B0A13" w:rsidRDefault="00AC2B97" w:rsidP="006E1087">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lastRenderedPageBreak/>
        <w:t>74.</w:t>
      </w:r>
      <w:r>
        <w:rPr>
          <w:rFonts w:ascii="FrankRuehl" w:eastAsia="Calibri" w:hAnsi="FrankRuehl" w:cs="FrankRuehl" w:hint="cs"/>
          <w:sz w:val="28"/>
          <w:szCs w:val="28"/>
          <w:rtl/>
        </w:rPr>
        <w:tab/>
        <w:t xml:space="preserve">עוד קודם לכן אציין, כי במחלוקת שנתגלעה בין הצדדים, אם יש לקבוע מתחם עונש הולם אחד או לכל אישום בנפרד, דעתי כדעת הסניגורים כי יש לקבוע מתחם עונש אחד הולם לכלל </w:t>
      </w:r>
      <w:r w:rsidR="000B0A13">
        <w:rPr>
          <w:rFonts w:ascii="FrankRuehl" w:eastAsia="Calibri" w:hAnsi="FrankRuehl" w:cs="FrankRuehl" w:hint="cs"/>
          <w:sz w:val="28"/>
          <w:szCs w:val="28"/>
          <w:rtl/>
        </w:rPr>
        <w:t>ה</w:t>
      </w:r>
      <w:r>
        <w:rPr>
          <w:rFonts w:ascii="FrankRuehl" w:eastAsia="Calibri" w:hAnsi="FrankRuehl" w:cs="FrankRuehl" w:hint="cs"/>
          <w:sz w:val="28"/>
          <w:szCs w:val="28"/>
          <w:rtl/>
        </w:rPr>
        <w:t>עבירות</w:t>
      </w:r>
      <w:r w:rsidR="000B0A13">
        <w:rPr>
          <w:rFonts w:ascii="FrankRuehl" w:eastAsia="Calibri" w:hAnsi="FrankRuehl" w:cs="FrankRuehl" w:hint="cs"/>
          <w:sz w:val="28"/>
          <w:szCs w:val="28"/>
          <w:rtl/>
        </w:rPr>
        <w:t>.</w:t>
      </w:r>
      <w:r>
        <w:rPr>
          <w:rFonts w:ascii="FrankRuehl" w:eastAsia="Calibri" w:hAnsi="FrankRuehl" w:cs="FrankRuehl" w:hint="cs"/>
          <w:sz w:val="28"/>
          <w:szCs w:val="28"/>
          <w:rtl/>
        </w:rPr>
        <w:t xml:space="preserve"> אכן, מדובר בנשים שונות, אך ב</w:t>
      </w:r>
      <w:r w:rsidRPr="000B0A13">
        <w:rPr>
          <w:rFonts w:ascii="FrankRuehl" w:eastAsia="Calibri" w:hAnsi="FrankRuehl" w:cs="FrankRuehl"/>
          <w:sz w:val="28"/>
          <w:szCs w:val="28"/>
          <w:rtl/>
        </w:rPr>
        <w:t>סדרה של מעשי לקיחת שוחד</w:t>
      </w:r>
      <w:r w:rsidRPr="000B0A13">
        <w:rPr>
          <w:rFonts w:ascii="FrankRuehl" w:eastAsia="Calibri" w:hAnsi="FrankRuehl" w:cs="FrankRuehl" w:hint="cs"/>
          <w:sz w:val="28"/>
          <w:szCs w:val="28"/>
          <w:rtl/>
        </w:rPr>
        <w:t>, שבחלקם השוחד התקבל ובחלקם לא,</w:t>
      </w:r>
      <w:r w:rsidR="000B0A13" w:rsidRPr="000B0A13">
        <w:rPr>
          <w:rFonts w:ascii="FrankRuehl" w:eastAsia="Calibri" w:hAnsi="FrankRuehl" w:cs="FrankRuehl" w:hint="cs"/>
          <w:sz w:val="28"/>
          <w:szCs w:val="28"/>
          <w:rtl/>
        </w:rPr>
        <w:t xml:space="preserve"> כשהדרך בה נקט הנאשם היא אותה דרך, באותה מסגרת של תפקידו כעובד הרשות, וכאמור, כלל המעשים נעשו במהלך חודש </w:t>
      </w:r>
      <w:r w:rsidR="000B0A13" w:rsidRPr="006E1087">
        <w:rPr>
          <w:rFonts w:ascii="FrankRuehl" w:eastAsia="Calibri" w:hAnsi="FrankRuehl" w:cs="FrankRuehl" w:hint="cs"/>
          <w:sz w:val="28"/>
          <w:szCs w:val="28"/>
          <w:rtl/>
        </w:rPr>
        <w:t xml:space="preserve">אחד, חלקם במקביל. </w:t>
      </w:r>
      <w:r w:rsidRPr="006E1087">
        <w:rPr>
          <w:rFonts w:ascii="FrankRuehl" w:eastAsia="Calibri" w:hAnsi="FrankRuehl" w:cs="FrankRuehl"/>
          <w:sz w:val="28"/>
          <w:szCs w:val="28"/>
          <w:rtl/>
        </w:rPr>
        <w:t>מעשי הנאשם מקיימים, אפוא, ביניהם קשר הדוק באופן שניתן לקבוע מתחם ענישה</w:t>
      </w:r>
      <w:r w:rsidR="000B0A13" w:rsidRPr="006E1087">
        <w:rPr>
          <w:rFonts w:ascii="FrankRuehl" w:eastAsia="Calibri" w:hAnsi="FrankRuehl" w:cs="FrankRuehl" w:hint="cs"/>
          <w:sz w:val="28"/>
          <w:szCs w:val="28"/>
          <w:rtl/>
        </w:rPr>
        <w:t xml:space="preserve"> </w:t>
      </w:r>
      <w:r w:rsidR="00F862B6" w:rsidRPr="006E1087">
        <w:rPr>
          <w:rFonts w:ascii="FrankRuehl" w:eastAsia="Calibri" w:hAnsi="FrankRuehl" w:cs="FrankRuehl"/>
          <w:sz w:val="28"/>
          <w:szCs w:val="28"/>
          <w:rtl/>
        </w:rPr>
        <w:t>בשים לב למבחנים שנקבעו</w:t>
      </w:r>
      <w:r w:rsidR="000B0A13" w:rsidRPr="006E1087">
        <w:rPr>
          <w:rFonts w:ascii="FrankRuehl" w:eastAsia="Calibri" w:hAnsi="FrankRuehl" w:cs="FrankRuehl" w:hint="cs"/>
          <w:sz w:val="28"/>
          <w:szCs w:val="28"/>
          <w:rtl/>
        </w:rPr>
        <w:t xml:space="preserve"> לעניין זה </w:t>
      </w:r>
      <w:r w:rsidR="00F862B6" w:rsidRPr="006E1087">
        <w:rPr>
          <w:rFonts w:ascii="FrankRuehl" w:eastAsia="Calibri" w:hAnsi="FrankRuehl" w:cs="FrankRuehl"/>
          <w:sz w:val="28"/>
          <w:szCs w:val="28"/>
          <w:rtl/>
        </w:rPr>
        <w:t xml:space="preserve">בפסיקה </w:t>
      </w:r>
      <w:r w:rsidR="000B0A13" w:rsidRPr="006E1087">
        <w:rPr>
          <w:rFonts w:ascii="FrankRuehl" w:eastAsia="Calibri" w:hAnsi="FrankRuehl" w:cs="FrankRuehl" w:hint="cs"/>
          <w:sz w:val="28"/>
          <w:szCs w:val="28"/>
          <w:rtl/>
        </w:rPr>
        <w:t>(ראו: ע"פ 4910/13</w:t>
      </w:r>
      <w:r w:rsidR="00F862B6" w:rsidRPr="006E1087">
        <w:rPr>
          <w:rFonts w:ascii="FrankRuehl" w:eastAsia="Calibri" w:hAnsi="FrankRuehl" w:cs="FrankRuehl"/>
          <w:sz w:val="28"/>
          <w:szCs w:val="28"/>
        </w:rPr>
        <w:t> </w:t>
      </w:r>
      <w:r w:rsidR="00F862B6" w:rsidRPr="006E1087">
        <w:rPr>
          <w:rFonts w:ascii="FrankRuehl" w:eastAsia="Calibri" w:hAnsi="FrankRuehl" w:cs="FrankRuehl"/>
          <w:b/>
          <w:bCs/>
          <w:sz w:val="28"/>
          <w:szCs w:val="28"/>
          <w:rtl/>
        </w:rPr>
        <w:t>ג'אבר נ' מדינת ישראל</w:t>
      </w:r>
      <w:r w:rsidR="000B0A13" w:rsidRPr="006E1087">
        <w:rPr>
          <w:rFonts w:ascii="FrankRuehl" w:eastAsia="Calibri" w:hAnsi="FrankRuehl" w:cs="FrankRuehl" w:hint="cs"/>
          <w:sz w:val="28"/>
          <w:szCs w:val="28"/>
          <w:rtl/>
        </w:rPr>
        <w:t xml:space="preserve"> (29.10.14)). העבירה שבאישום השמיני היא אכן שונה, </w:t>
      </w:r>
      <w:r w:rsidR="006E1087">
        <w:rPr>
          <w:rFonts w:ascii="FrankRuehl" w:eastAsia="Calibri" w:hAnsi="FrankRuehl" w:cs="FrankRuehl" w:hint="cs"/>
          <w:sz w:val="28"/>
          <w:szCs w:val="28"/>
          <w:rtl/>
        </w:rPr>
        <w:t xml:space="preserve">היא גם נעשתה בחודש מרץ 2016, </w:t>
      </w:r>
      <w:r w:rsidR="000B0A13" w:rsidRPr="006E1087">
        <w:rPr>
          <w:rFonts w:ascii="FrankRuehl" w:eastAsia="Calibri" w:hAnsi="FrankRuehl" w:cs="FrankRuehl" w:hint="cs"/>
          <w:sz w:val="28"/>
          <w:szCs w:val="28"/>
          <w:rtl/>
        </w:rPr>
        <w:t>אך חלק מביצוע העבירות שבאישומים האחרים נעשה על ידי הנאשם תוך כניסה למערכות הרשות</w:t>
      </w:r>
      <w:r w:rsidR="000B0A13">
        <w:rPr>
          <w:rFonts w:ascii="FrankRuehl" w:eastAsia="Calibri" w:hAnsi="FrankRuehl" w:cs="FrankRuehl" w:hint="cs"/>
          <w:sz w:val="28"/>
          <w:szCs w:val="28"/>
          <w:rtl/>
        </w:rPr>
        <w:t xml:space="preserve">, ומבחינה זו, ובישם לב לחומרת עבירות השוחד ביחס לעבירה שבאישום השמיני, נכון לקבוע מתחם עונש אחד גם לעבירה זו בכלל המתחם של עבירות השוחד. </w:t>
      </w:r>
    </w:p>
    <w:p w:rsidR="00A32109" w:rsidRPr="00F862B6" w:rsidRDefault="00A32109" w:rsidP="000B0A13">
      <w:pPr>
        <w:spacing w:after="160" w:line="360" w:lineRule="auto"/>
        <w:jc w:val="both"/>
        <w:rPr>
          <w:rFonts w:ascii="FrankRuehl" w:eastAsia="Calibri" w:hAnsi="FrankRuehl" w:cs="FrankRuehl"/>
          <w:sz w:val="28"/>
          <w:szCs w:val="28"/>
          <w:rtl/>
        </w:rPr>
      </w:pPr>
    </w:p>
    <w:p w:rsidR="002E0EB2" w:rsidRDefault="006E1087" w:rsidP="00D508C1">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75.</w:t>
      </w:r>
      <w:r>
        <w:rPr>
          <w:rFonts w:ascii="FrankRuehl" w:eastAsia="Calibri" w:hAnsi="FrankRuehl" w:cs="FrankRuehl" w:hint="cs"/>
          <w:sz w:val="28"/>
          <w:szCs w:val="28"/>
          <w:rtl/>
        </w:rPr>
        <w:tab/>
      </w:r>
      <w:r w:rsidR="000B0A13">
        <w:rPr>
          <w:rFonts w:ascii="FrankRuehl" w:eastAsia="Calibri" w:hAnsi="FrankRuehl" w:cs="FrankRuehl" w:hint="cs"/>
          <w:sz w:val="28"/>
          <w:szCs w:val="28"/>
          <w:rtl/>
        </w:rPr>
        <w:t>מכאן לפסיקה</w:t>
      </w:r>
      <w:r w:rsidR="003A501E">
        <w:rPr>
          <w:rFonts w:ascii="FrankRuehl" w:eastAsia="Calibri" w:hAnsi="FrankRuehl" w:cs="FrankRuehl" w:hint="cs"/>
          <w:sz w:val="28"/>
          <w:szCs w:val="28"/>
          <w:rtl/>
        </w:rPr>
        <w:t xml:space="preserve"> הנוהגת</w:t>
      </w:r>
      <w:r w:rsidR="000B0A13">
        <w:rPr>
          <w:rFonts w:ascii="FrankRuehl" w:eastAsia="Calibri" w:hAnsi="FrankRuehl" w:cs="FrankRuehl" w:hint="cs"/>
          <w:sz w:val="28"/>
          <w:szCs w:val="28"/>
          <w:rtl/>
        </w:rPr>
        <w:t xml:space="preserve">. </w:t>
      </w:r>
    </w:p>
    <w:p w:rsidR="000E13B2" w:rsidRPr="006F0935" w:rsidRDefault="000E13B2" w:rsidP="006F0935">
      <w:pPr>
        <w:pStyle w:val="af"/>
        <w:numPr>
          <w:ilvl w:val="0"/>
          <w:numId w:val="6"/>
        </w:numPr>
        <w:spacing w:after="160" w:line="360" w:lineRule="auto"/>
        <w:jc w:val="both"/>
        <w:rPr>
          <w:rFonts w:ascii="FrankRuehl" w:eastAsia="Calibri" w:hAnsi="FrankRuehl" w:cs="FrankRuehl"/>
          <w:sz w:val="28"/>
          <w:szCs w:val="28"/>
          <w:rtl/>
        </w:rPr>
      </w:pPr>
      <w:r w:rsidRPr="008C5CA8">
        <w:rPr>
          <w:rFonts w:ascii="FrankRuehl" w:eastAsia="Calibri" w:hAnsi="FrankRuehl" w:cs="FrankRuehl" w:hint="cs"/>
          <w:sz w:val="28"/>
          <w:szCs w:val="28"/>
          <w:rtl/>
        </w:rPr>
        <w:t xml:space="preserve">המאשימה הפנתה </w:t>
      </w:r>
      <w:r w:rsidRPr="006F0935">
        <w:rPr>
          <w:rFonts w:ascii="FrankRuehl" w:eastAsia="Calibri" w:hAnsi="FrankRuehl" w:cs="FrankRuehl" w:hint="cs"/>
          <w:sz w:val="28"/>
          <w:szCs w:val="28"/>
          <w:rtl/>
        </w:rPr>
        <w:t xml:space="preserve">לת"פ 7132-05-16 </w:t>
      </w:r>
      <w:r w:rsidRPr="006F0935">
        <w:rPr>
          <w:rFonts w:ascii="FrankRuehl" w:eastAsia="Calibri" w:hAnsi="FrankRuehl" w:cs="FrankRuehl" w:hint="cs"/>
          <w:b/>
          <w:bCs/>
          <w:sz w:val="28"/>
          <w:szCs w:val="28"/>
          <w:rtl/>
        </w:rPr>
        <w:t>מדינת ישראל נ' קדוש</w:t>
      </w:r>
      <w:r w:rsidRPr="006F0935">
        <w:rPr>
          <w:rFonts w:ascii="FrankRuehl" w:eastAsia="Calibri" w:hAnsi="FrankRuehl" w:cs="FrankRuehl" w:hint="cs"/>
          <w:sz w:val="28"/>
          <w:szCs w:val="28"/>
          <w:rtl/>
        </w:rPr>
        <w:t xml:space="preserve"> (9.05.18), שעסק בנאשם ששירת </w:t>
      </w:r>
      <w:r w:rsidRPr="006F0935">
        <w:rPr>
          <w:rFonts w:ascii="FrankRuehl" w:eastAsia="Calibri" w:hAnsi="FrankRuehl" w:cs="FrankRuehl" w:hint="cs"/>
          <w:sz w:val="28"/>
          <w:szCs w:val="28"/>
          <w:u w:val="single"/>
          <w:rtl/>
        </w:rPr>
        <w:t>כרכז מודיעין במשטרה</w:t>
      </w:r>
      <w:r w:rsidRPr="006F0935">
        <w:rPr>
          <w:rFonts w:ascii="FrankRuehl" w:eastAsia="Calibri" w:hAnsi="FrankRuehl" w:cs="FrankRuehl" w:hint="cs"/>
          <w:sz w:val="28"/>
          <w:szCs w:val="28"/>
          <w:rtl/>
        </w:rPr>
        <w:t xml:space="preserve"> הורשע בארבעה אישומים בקבלת שוחד ועבירות נוספות מתחום טוהר המידות, בשל כך שמסר לגורמים שונים מידע משטרתי אליו נחשף במסגרת תפקידו </w:t>
      </w:r>
      <w:r w:rsidRPr="006E1087">
        <w:rPr>
          <w:rFonts w:ascii="FrankRuehl" w:eastAsia="Calibri" w:hAnsi="FrankRuehl" w:cs="FrankRuehl" w:hint="cs"/>
          <w:sz w:val="28"/>
          <w:szCs w:val="28"/>
          <w:u w:val="single"/>
          <w:rtl/>
        </w:rPr>
        <w:t>בתמורה לשוחד כספי ומיני</w:t>
      </w:r>
      <w:r w:rsidRPr="006F0935">
        <w:rPr>
          <w:rFonts w:ascii="FrankRuehl" w:eastAsia="Calibri" w:hAnsi="FrankRuehl" w:cs="FrankRuehl" w:hint="cs"/>
          <w:sz w:val="28"/>
          <w:szCs w:val="28"/>
          <w:rtl/>
        </w:rPr>
        <w:t xml:space="preserve">, אלפי שקלים ויחסי מין מנשים שעבדו בבתי בושת. המאשימה הסכימה במסגרת הסדר טיעון לטעון למתחם שבין 30 ל-60 חודשים. בית המשפט קבע מתחם עונש הנע </w:t>
      </w:r>
      <w:r w:rsidRPr="006F0935">
        <w:rPr>
          <w:rFonts w:ascii="FrankRuehl" w:eastAsia="Calibri" w:hAnsi="FrankRuehl" w:cs="FrankRuehl" w:hint="cs"/>
          <w:b/>
          <w:bCs/>
          <w:sz w:val="28"/>
          <w:szCs w:val="28"/>
          <w:rtl/>
        </w:rPr>
        <w:t>מ-20 ועד 44 חודשי מאסר</w:t>
      </w:r>
      <w:r w:rsidRPr="006F0935">
        <w:rPr>
          <w:rFonts w:ascii="FrankRuehl" w:eastAsia="Calibri" w:hAnsi="FrankRuehl" w:cs="FrankRuehl" w:hint="cs"/>
          <w:sz w:val="28"/>
          <w:szCs w:val="28"/>
          <w:rtl/>
        </w:rPr>
        <w:t xml:space="preserve">, והשית על הנאשם 21 חודשים. </w:t>
      </w:r>
    </w:p>
    <w:p w:rsidR="000E13B2" w:rsidRDefault="005403D9" w:rsidP="005403D9">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76.</w:t>
      </w:r>
      <w:r>
        <w:rPr>
          <w:rFonts w:ascii="FrankRuehl" w:eastAsia="Calibri" w:hAnsi="FrankRuehl" w:cs="FrankRuehl" w:hint="cs"/>
          <w:sz w:val="28"/>
          <w:szCs w:val="28"/>
          <w:rtl/>
        </w:rPr>
        <w:tab/>
      </w:r>
      <w:r w:rsidR="000E13B2">
        <w:rPr>
          <w:rFonts w:ascii="FrankRuehl" w:eastAsia="Calibri" w:hAnsi="FrankRuehl" w:cs="FrankRuehl" w:hint="cs"/>
          <w:sz w:val="28"/>
          <w:szCs w:val="28"/>
          <w:rtl/>
        </w:rPr>
        <w:t xml:space="preserve">ברם, מדובר במקרה חמור הרבה יותר, שכן מדובר בשוטר וכבר נאמר כי "'שוטר' ו'שוחד' הם מושגים מנוגדים בתכלית, שאינם יכולים לדור בכפיפה אחת" (ת"פ (מחוזי-ב"ש) 9935-02-10 </w:t>
      </w:r>
      <w:r w:rsidR="000E13B2" w:rsidRPr="000E13B2">
        <w:rPr>
          <w:rFonts w:ascii="FrankRuehl" w:eastAsia="Calibri" w:hAnsi="FrankRuehl" w:cs="FrankRuehl" w:hint="cs"/>
          <w:b/>
          <w:bCs/>
          <w:sz w:val="28"/>
          <w:szCs w:val="28"/>
          <w:rtl/>
        </w:rPr>
        <w:t>מדינת ישראל נ' טלקר</w:t>
      </w:r>
      <w:r w:rsidR="000E13B2">
        <w:rPr>
          <w:rFonts w:ascii="FrankRuehl" w:eastAsia="Calibri" w:hAnsi="FrankRuehl" w:cs="FrankRuehl" w:hint="cs"/>
          <w:sz w:val="28"/>
          <w:szCs w:val="28"/>
          <w:rtl/>
        </w:rPr>
        <w:t xml:space="preserve"> (28.10.12), והתמורה שנעשתה הייתה תוך סטייה מהשורה ותוך פגיעה קשה בשלטון החוק. בע"פ 244/21 </w:t>
      </w:r>
      <w:r w:rsidR="00377936" w:rsidRPr="00377936">
        <w:rPr>
          <w:rFonts w:ascii="FrankRuehl" w:hAnsi="FrankRuehl" w:cs="FrankRuehl" w:hint="cs"/>
          <w:b/>
          <w:bCs/>
          <w:color w:val="000000"/>
          <w:spacing w:val="10"/>
          <w:sz w:val="28"/>
          <w:szCs w:val="28"/>
          <w:rtl/>
        </w:rPr>
        <w:t>מדינת ישראל נ' רבינוביץ'</w:t>
      </w:r>
      <w:r w:rsidR="00377936">
        <w:rPr>
          <w:rFonts w:ascii="FrankRuehl" w:hAnsi="FrankRuehl" w:cs="FrankRuehl" w:hint="cs"/>
          <w:color w:val="000000"/>
          <w:spacing w:val="10"/>
          <w:sz w:val="28"/>
          <w:szCs w:val="28"/>
          <w:rtl/>
        </w:rPr>
        <w:t xml:space="preserve"> (</w:t>
      </w:r>
      <w:r>
        <w:rPr>
          <w:rFonts w:ascii="FrankRuehl" w:hAnsi="FrankRuehl" w:cs="FrankRuehl" w:hint="cs"/>
          <w:color w:val="000000"/>
          <w:spacing w:val="10"/>
          <w:sz w:val="28"/>
          <w:szCs w:val="28"/>
          <w:rtl/>
        </w:rPr>
        <w:t>31.08.22</w:t>
      </w:r>
      <w:r w:rsidR="00377936">
        <w:rPr>
          <w:rFonts w:ascii="FrankRuehl" w:hAnsi="FrankRuehl" w:cs="FrankRuehl" w:hint="cs"/>
          <w:color w:val="000000"/>
          <w:spacing w:val="10"/>
          <w:sz w:val="28"/>
          <w:szCs w:val="28"/>
          <w:rtl/>
        </w:rPr>
        <w:t xml:space="preserve">) </w:t>
      </w:r>
      <w:r w:rsidR="000E13B2">
        <w:rPr>
          <w:rFonts w:ascii="FrankRuehl" w:eastAsia="Calibri" w:hAnsi="FrankRuehl" w:cs="FrankRuehl" w:hint="cs"/>
          <w:sz w:val="28"/>
          <w:szCs w:val="28"/>
          <w:rtl/>
        </w:rPr>
        <w:t xml:space="preserve">עמד בית המשפט על החומרה היתרה הקיימת במקרה של שוטר הנוטל שוחד, ועל כך שאין לגזור ממקרים העוסקים בשוטרים גזירה שווה לעובדי ציבור אחרים. בפרט, יש להחמיר עם שוטר שנטל שוחד בתמורה להקניית הגנה משטרתית. </w:t>
      </w:r>
    </w:p>
    <w:p w:rsidR="000E13B2" w:rsidRPr="006F0935" w:rsidRDefault="005403D9" w:rsidP="005403D9">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77.</w:t>
      </w:r>
      <w:r>
        <w:rPr>
          <w:rFonts w:ascii="FrankRuehl" w:eastAsia="Calibri" w:hAnsi="FrankRuehl" w:cs="FrankRuehl" w:hint="cs"/>
          <w:sz w:val="28"/>
          <w:szCs w:val="28"/>
          <w:rtl/>
        </w:rPr>
        <w:tab/>
      </w:r>
      <w:r w:rsidR="000E13B2">
        <w:rPr>
          <w:rFonts w:ascii="FrankRuehl" w:eastAsia="Calibri" w:hAnsi="FrankRuehl" w:cs="FrankRuehl" w:hint="cs"/>
          <w:sz w:val="28"/>
          <w:szCs w:val="28"/>
          <w:rtl/>
        </w:rPr>
        <w:t>בשל כך גם לא ראיתי לנכון ל</w:t>
      </w:r>
      <w:r>
        <w:rPr>
          <w:rFonts w:ascii="FrankRuehl" w:eastAsia="Calibri" w:hAnsi="FrankRuehl" w:cs="FrankRuehl" w:hint="cs"/>
          <w:sz w:val="28"/>
          <w:szCs w:val="28"/>
          <w:rtl/>
        </w:rPr>
        <w:t>למוד גזרה שווה מ</w:t>
      </w:r>
      <w:r w:rsidR="000E13B2">
        <w:rPr>
          <w:rFonts w:ascii="FrankRuehl" w:eastAsia="Calibri" w:hAnsi="FrankRuehl" w:cs="FrankRuehl" w:hint="cs"/>
          <w:sz w:val="28"/>
          <w:szCs w:val="28"/>
          <w:rtl/>
        </w:rPr>
        <w:t xml:space="preserve">פסקי דין נוספים שהגישה המאשימה בתמיכה לטענותיה, שכן מדובר היה בשוטרים שפעלו במסגרת תפקידם תוך סטייה משמעותית </w:t>
      </w:r>
      <w:r w:rsidR="000E13B2">
        <w:rPr>
          <w:rFonts w:ascii="FrankRuehl" w:eastAsia="Calibri" w:hAnsi="FrankRuehl" w:cs="FrankRuehl" w:hint="cs"/>
          <w:sz w:val="28"/>
          <w:szCs w:val="28"/>
          <w:rtl/>
        </w:rPr>
        <w:lastRenderedPageBreak/>
        <w:t xml:space="preserve">מהשורה. </w:t>
      </w:r>
      <w:r w:rsidR="000E13B2" w:rsidRPr="006F0935">
        <w:rPr>
          <w:rFonts w:ascii="FrankRuehl" w:eastAsia="Calibri" w:hAnsi="FrankRuehl" w:cs="FrankRuehl" w:hint="cs"/>
          <w:sz w:val="28"/>
          <w:szCs w:val="28"/>
          <w:rtl/>
        </w:rPr>
        <w:t xml:space="preserve">כך, למשל בע"פ 8856/02 </w:t>
      </w:r>
      <w:r w:rsidR="000E13B2" w:rsidRPr="006F0935">
        <w:rPr>
          <w:rFonts w:ascii="FrankRuehl" w:eastAsia="Calibri" w:hAnsi="FrankRuehl" w:cs="FrankRuehl" w:hint="cs"/>
          <w:b/>
          <w:bCs/>
          <w:sz w:val="28"/>
          <w:szCs w:val="28"/>
          <w:rtl/>
        </w:rPr>
        <w:t>מדינת ישראל נ' שוקרון</w:t>
      </w:r>
      <w:r w:rsidR="000E13B2" w:rsidRPr="006F0935">
        <w:rPr>
          <w:rFonts w:ascii="FrankRuehl" w:eastAsia="Calibri" w:hAnsi="FrankRuehl" w:cs="FrankRuehl" w:hint="cs"/>
          <w:sz w:val="28"/>
          <w:szCs w:val="28"/>
          <w:rtl/>
        </w:rPr>
        <w:t xml:space="preserve"> (14.04.03), </w:t>
      </w:r>
      <w:r w:rsidR="008C5CA8">
        <w:rPr>
          <w:rFonts w:ascii="FrankRuehl" w:eastAsia="Calibri" w:hAnsi="FrankRuehl" w:cs="FrankRuehl" w:hint="cs"/>
          <w:sz w:val="28"/>
          <w:szCs w:val="28"/>
          <w:rtl/>
        </w:rPr>
        <w:t xml:space="preserve">אליו הפנתה המאשימה, </w:t>
      </w:r>
      <w:r w:rsidR="000E13B2" w:rsidRPr="006F0935">
        <w:rPr>
          <w:rFonts w:ascii="FrankRuehl" w:eastAsia="Calibri" w:hAnsi="FrankRuehl" w:cs="FrankRuehl" w:hint="cs"/>
          <w:sz w:val="28"/>
          <w:szCs w:val="28"/>
          <w:rtl/>
        </w:rPr>
        <w:t>הושת עונש של 24 חודשי מאסר, כשמדובר היה ב</w:t>
      </w:r>
      <w:r w:rsidR="000E13B2" w:rsidRPr="005403D9">
        <w:rPr>
          <w:rFonts w:ascii="FrankRuehl" w:eastAsia="Calibri" w:hAnsi="FrankRuehl" w:cs="FrankRuehl" w:hint="cs"/>
          <w:sz w:val="28"/>
          <w:szCs w:val="28"/>
          <w:u w:val="single"/>
          <w:rtl/>
        </w:rPr>
        <w:t>שוטר</w:t>
      </w:r>
      <w:r w:rsidR="000E13B2" w:rsidRPr="006F0935">
        <w:rPr>
          <w:rFonts w:ascii="FrankRuehl" w:eastAsia="Calibri" w:hAnsi="FrankRuehl" w:cs="FrankRuehl" w:hint="cs"/>
          <w:sz w:val="28"/>
          <w:szCs w:val="28"/>
          <w:rtl/>
        </w:rPr>
        <w:t xml:space="preserve"> ש</w:t>
      </w:r>
      <w:r w:rsidR="000E13B2" w:rsidRPr="005403D9">
        <w:rPr>
          <w:rFonts w:ascii="FrankRuehl" w:eastAsia="Calibri" w:hAnsi="FrankRuehl" w:cs="FrankRuehl" w:hint="cs"/>
          <w:sz w:val="28"/>
          <w:szCs w:val="28"/>
          <w:u w:val="single"/>
          <w:rtl/>
        </w:rPr>
        <w:t>הדיח מתלוננת להעיד עדות שקר</w:t>
      </w:r>
      <w:r w:rsidR="000E13B2" w:rsidRPr="006F0935">
        <w:rPr>
          <w:rFonts w:ascii="FrankRuehl" w:eastAsia="Calibri" w:hAnsi="FrankRuehl" w:cs="FrankRuehl" w:hint="cs"/>
          <w:sz w:val="28"/>
          <w:szCs w:val="28"/>
          <w:rtl/>
        </w:rPr>
        <w:t xml:space="preserve"> שתחלץ אות</w:t>
      </w:r>
      <w:r>
        <w:rPr>
          <w:rFonts w:ascii="FrankRuehl" w:eastAsia="Calibri" w:hAnsi="FrankRuehl" w:cs="FrankRuehl" w:hint="cs"/>
          <w:sz w:val="28"/>
          <w:szCs w:val="28"/>
          <w:rtl/>
        </w:rPr>
        <w:t>ה</w:t>
      </w:r>
      <w:r w:rsidR="000E13B2" w:rsidRPr="006F0935">
        <w:rPr>
          <w:rFonts w:ascii="FrankRuehl" w:eastAsia="Calibri" w:hAnsi="FrankRuehl" w:cs="FrankRuehl" w:hint="cs"/>
          <w:sz w:val="28"/>
          <w:szCs w:val="28"/>
          <w:rtl/>
        </w:rPr>
        <w:t xml:space="preserve"> מהמעשים הפליליים שיוחסו לה, ובתמורה לסיוע בסגירת ההליך דרש וקיבל תמורה בדמות </w:t>
      </w:r>
      <w:r w:rsidR="000E13B2" w:rsidRPr="005403D9">
        <w:rPr>
          <w:rFonts w:ascii="FrankRuehl" w:eastAsia="Calibri" w:hAnsi="FrankRuehl" w:cs="FrankRuehl" w:hint="cs"/>
          <w:sz w:val="28"/>
          <w:szCs w:val="28"/>
          <w:u w:val="single"/>
          <w:rtl/>
        </w:rPr>
        <w:t>קיום יחסי מין</w:t>
      </w:r>
      <w:r w:rsidR="000E13B2" w:rsidRPr="001D0CEC">
        <w:rPr>
          <w:rFonts w:ascii="FrankRuehl" w:eastAsia="Calibri" w:hAnsi="FrankRuehl" w:cs="FrankRuehl" w:hint="cs"/>
          <w:sz w:val="28"/>
          <w:szCs w:val="28"/>
          <w:u w:val="single"/>
          <w:rtl/>
        </w:rPr>
        <w:t xml:space="preserve"> מלאים</w:t>
      </w:r>
      <w:r w:rsidR="000E13B2" w:rsidRPr="006F0935">
        <w:rPr>
          <w:rFonts w:ascii="FrankRuehl" w:eastAsia="Calibri" w:hAnsi="FrankRuehl" w:cs="FrankRuehl" w:hint="cs"/>
          <w:sz w:val="28"/>
          <w:szCs w:val="28"/>
          <w:rtl/>
        </w:rPr>
        <w:t xml:space="preserve">. וכך, בע"פ 799/13 </w:t>
      </w:r>
      <w:r w:rsidR="000E13B2" w:rsidRPr="006F0935">
        <w:rPr>
          <w:rFonts w:ascii="FrankRuehl" w:eastAsia="Calibri" w:hAnsi="FrankRuehl" w:cs="FrankRuehl" w:hint="cs"/>
          <w:b/>
          <w:bCs/>
          <w:sz w:val="28"/>
          <w:szCs w:val="28"/>
          <w:rtl/>
        </w:rPr>
        <w:t>קריאף נ' מדינת ישראל</w:t>
      </w:r>
      <w:r w:rsidR="000E13B2" w:rsidRPr="006F0935">
        <w:rPr>
          <w:rFonts w:ascii="FrankRuehl" w:eastAsia="Calibri" w:hAnsi="FrankRuehl" w:cs="FrankRuehl" w:hint="cs"/>
          <w:sz w:val="28"/>
          <w:szCs w:val="28"/>
          <w:rtl/>
        </w:rPr>
        <w:t xml:space="preserve"> (21.07.13)</w:t>
      </w:r>
      <w:r w:rsidR="008C5CA8">
        <w:rPr>
          <w:rFonts w:ascii="FrankRuehl" w:eastAsia="Calibri" w:hAnsi="FrankRuehl" w:cs="FrankRuehl" w:hint="cs"/>
          <w:sz w:val="28"/>
          <w:szCs w:val="28"/>
          <w:rtl/>
        </w:rPr>
        <w:t xml:space="preserve">, שגם אליו הפנתה המאשימה, </w:t>
      </w:r>
      <w:r w:rsidR="000E13B2" w:rsidRPr="006F0935">
        <w:rPr>
          <w:rFonts w:ascii="FrankRuehl" w:eastAsia="Calibri" w:hAnsi="FrankRuehl" w:cs="FrankRuehl" w:hint="cs"/>
          <w:sz w:val="28"/>
          <w:szCs w:val="28"/>
          <w:rtl/>
        </w:rPr>
        <w:t xml:space="preserve">נדון עניינו של נאשם שהורשע בארבעה אישומים שכללו סחיטה באיומים, מעשה מגונה, הפרת אמונים ולקיחת שוחד. גם נאשם זה היה </w:t>
      </w:r>
      <w:r w:rsidR="000E13B2" w:rsidRPr="005403D9">
        <w:rPr>
          <w:rFonts w:ascii="FrankRuehl" w:eastAsia="Calibri" w:hAnsi="FrankRuehl" w:cs="FrankRuehl" w:hint="cs"/>
          <w:sz w:val="28"/>
          <w:szCs w:val="28"/>
          <w:u w:val="single"/>
          <w:rtl/>
        </w:rPr>
        <w:t>שוטר</w:t>
      </w:r>
      <w:r w:rsidR="000E13B2" w:rsidRPr="006F0935">
        <w:rPr>
          <w:rFonts w:ascii="FrankRuehl" w:eastAsia="Calibri" w:hAnsi="FrankRuehl" w:cs="FrankRuehl" w:hint="cs"/>
          <w:sz w:val="28"/>
          <w:szCs w:val="28"/>
          <w:rtl/>
        </w:rPr>
        <w:t xml:space="preserve"> שהגיעה לביתה של מתלוננת שסיפקה יחסי מין בתשלום "אם את רוצה שנסגור את העניין בינינו ואני לא אעצור אותך, קבלי אותי". המתלוננת מתוך פחד שמא תיעצר, </w:t>
      </w:r>
      <w:r w:rsidR="000E13B2" w:rsidRPr="005403D9">
        <w:rPr>
          <w:rFonts w:ascii="FrankRuehl" w:eastAsia="Calibri" w:hAnsi="FrankRuehl" w:cs="FrankRuehl" w:hint="cs"/>
          <w:sz w:val="28"/>
          <w:szCs w:val="28"/>
          <w:u w:val="single"/>
          <w:rtl/>
        </w:rPr>
        <w:t>קיימה עמו יחסי מין מלאים</w:t>
      </w:r>
      <w:r w:rsidR="000E13B2" w:rsidRPr="006F0935">
        <w:rPr>
          <w:rFonts w:ascii="FrankRuehl" w:eastAsia="Calibri" w:hAnsi="FrankRuehl" w:cs="FrankRuehl" w:hint="cs"/>
          <w:sz w:val="28"/>
          <w:szCs w:val="28"/>
          <w:rtl/>
        </w:rPr>
        <w:t>. באופן דומה פעל מול שתי מתלוננות נוספות. בית המשפט המחוזי קבע מתחם ענישה הנע מחודשי מאסר ספורים ועד שנתיים מאסר, והשית על הנאשם 24 חודשי מאסר בפועל. בית המשפט העליון קבע כי מדובר בענישה מקלה המצדיקה את התערבותו, והוא העמיד את העונש על 36 חודשי מאסר. במקרה זה אליו הפנתה המאשימה, לא אך שמדובר בשוטר, אלא שמדובר בעבירות חמורות נוספות, כסחיטה באיומים ומעשה מגונה. חומרה מיוחדת מצא בית המשפט העליון בעובדה שהתנהגותו המבישה והמכוערת של הנאשם באותו מקרה נמשכה על פני תקופה של כשלוש שנים, בעוד שבמקרה שבפני מדובר באירועים שנ</w:t>
      </w:r>
      <w:r w:rsidR="00C02CBE" w:rsidRPr="006F0935">
        <w:rPr>
          <w:rFonts w:ascii="FrankRuehl" w:eastAsia="Calibri" w:hAnsi="FrankRuehl" w:cs="FrankRuehl" w:hint="cs"/>
          <w:sz w:val="28"/>
          <w:szCs w:val="28"/>
          <w:rtl/>
        </w:rPr>
        <w:t xml:space="preserve">משכו </w:t>
      </w:r>
      <w:r>
        <w:rPr>
          <w:rFonts w:ascii="FrankRuehl" w:eastAsia="Calibri" w:hAnsi="FrankRuehl" w:cs="FrankRuehl" w:hint="cs"/>
          <w:sz w:val="28"/>
          <w:szCs w:val="28"/>
          <w:rtl/>
        </w:rPr>
        <w:t>כ</w:t>
      </w:r>
      <w:r w:rsidR="00C02CBE" w:rsidRPr="006F0935">
        <w:rPr>
          <w:rFonts w:ascii="FrankRuehl" w:eastAsia="Calibri" w:hAnsi="FrankRuehl" w:cs="FrankRuehl" w:hint="cs"/>
          <w:sz w:val="28"/>
          <w:szCs w:val="28"/>
          <w:rtl/>
        </w:rPr>
        <w:t xml:space="preserve">חודש אחד. </w:t>
      </w:r>
    </w:p>
    <w:p w:rsidR="000E13B2" w:rsidRPr="009E0D2A" w:rsidRDefault="005403D9" w:rsidP="009E0D2A">
      <w:pPr>
        <w:spacing w:after="160" w:line="360" w:lineRule="auto"/>
        <w:jc w:val="both"/>
        <w:rPr>
          <w:rFonts w:ascii="FrankRuehl" w:eastAsia="Calibri" w:hAnsi="FrankRuehl" w:cs="FrankRuehl"/>
          <w:sz w:val="28"/>
          <w:szCs w:val="28"/>
          <w:rtl/>
        </w:rPr>
      </w:pPr>
      <w:r>
        <w:rPr>
          <w:rFonts w:ascii="FrankRuehl" w:eastAsia="Calibri" w:hAnsi="FrankRuehl" w:cs="FrankRuehl" w:hint="cs"/>
          <w:sz w:val="28"/>
          <w:szCs w:val="28"/>
          <w:rtl/>
        </w:rPr>
        <w:t>78.</w:t>
      </w:r>
      <w:r>
        <w:rPr>
          <w:rFonts w:ascii="FrankRuehl" w:eastAsia="Calibri" w:hAnsi="FrankRuehl" w:cs="FrankRuehl" w:hint="cs"/>
          <w:sz w:val="28"/>
          <w:szCs w:val="28"/>
          <w:rtl/>
        </w:rPr>
        <w:tab/>
      </w:r>
      <w:r w:rsidR="00C02CBE">
        <w:rPr>
          <w:rFonts w:ascii="FrankRuehl" w:eastAsia="Calibri" w:hAnsi="FrankRuehl" w:cs="FrankRuehl" w:hint="cs"/>
          <w:sz w:val="28"/>
          <w:szCs w:val="28"/>
          <w:rtl/>
        </w:rPr>
        <w:t xml:space="preserve">עם זאת, ניתן למצוא גזרי דין, שעל אף שהם עוסקים בשוטרים, ועל אף החומרה המיוחדת שיש בכך, נקבעו מתחמים והושתו עונשים נמוכים </w:t>
      </w:r>
      <w:r>
        <w:rPr>
          <w:rFonts w:ascii="FrankRuehl" w:eastAsia="Calibri" w:hAnsi="FrankRuehl" w:cs="FrankRuehl" w:hint="cs"/>
          <w:sz w:val="28"/>
          <w:szCs w:val="28"/>
          <w:rtl/>
        </w:rPr>
        <w:t xml:space="preserve">הרבה יותר מזה שהמאשימה עתרה לו, ומשם ניתן להסיק לעניינו בדרך של קל וחומר. </w:t>
      </w:r>
    </w:p>
    <w:p w:rsidR="00664EF1" w:rsidRPr="006F0935" w:rsidRDefault="009E0D2A" w:rsidP="006F0935">
      <w:pPr>
        <w:pStyle w:val="af"/>
        <w:numPr>
          <w:ilvl w:val="0"/>
          <w:numId w:val="6"/>
        </w:numPr>
        <w:spacing w:after="160" w:line="360" w:lineRule="auto"/>
        <w:jc w:val="both"/>
        <w:rPr>
          <w:rFonts w:ascii="FrankRuehl" w:hAnsi="FrankRuehl" w:cs="FrankRuehl"/>
          <w:color w:val="000000"/>
          <w:sz w:val="28"/>
          <w:szCs w:val="28"/>
          <w:rtl/>
        </w:rPr>
      </w:pPr>
      <w:r w:rsidRPr="006F0935">
        <w:rPr>
          <w:rFonts w:ascii="FrankRuehl" w:hAnsi="FrankRuehl" w:cs="FrankRuehl"/>
          <w:color w:val="000000"/>
          <w:sz w:val="28"/>
          <w:szCs w:val="28"/>
          <w:rtl/>
        </w:rPr>
        <w:t>ב</w:t>
      </w:r>
      <w:r w:rsidR="008E6CE6" w:rsidRPr="006F0935">
        <w:rPr>
          <w:rFonts w:ascii="FrankRuehl" w:hAnsi="FrankRuehl" w:cs="FrankRuehl"/>
          <w:color w:val="000000"/>
          <w:sz w:val="28"/>
          <w:szCs w:val="28"/>
          <w:rtl/>
        </w:rPr>
        <w:t>ת</w:t>
      </w:r>
      <w:r w:rsidRPr="006F0935">
        <w:rPr>
          <w:rFonts w:ascii="FrankRuehl" w:hAnsi="FrankRuehl" w:cs="FrankRuehl"/>
          <w:color w:val="000000"/>
          <w:sz w:val="28"/>
          <w:szCs w:val="28"/>
          <w:rtl/>
        </w:rPr>
        <w:t>"</w:t>
      </w:r>
      <w:r w:rsidR="008E6CE6" w:rsidRPr="006F0935">
        <w:rPr>
          <w:rFonts w:ascii="FrankRuehl" w:hAnsi="FrankRuehl" w:cs="FrankRuehl"/>
          <w:color w:val="000000"/>
          <w:sz w:val="28"/>
          <w:szCs w:val="28"/>
          <w:rtl/>
        </w:rPr>
        <w:t>פ (</w:t>
      </w:r>
      <w:r w:rsidRPr="006F0935">
        <w:rPr>
          <w:rFonts w:ascii="FrankRuehl" w:hAnsi="FrankRuehl" w:cs="FrankRuehl"/>
          <w:color w:val="000000"/>
          <w:sz w:val="28"/>
          <w:szCs w:val="28"/>
          <w:rtl/>
        </w:rPr>
        <w:t>מחוזי-</w:t>
      </w:r>
      <w:r w:rsidR="008E6CE6" w:rsidRPr="006F0935">
        <w:rPr>
          <w:rFonts w:ascii="FrankRuehl" w:hAnsi="FrankRuehl" w:cs="FrankRuehl"/>
          <w:color w:val="000000"/>
          <w:sz w:val="28"/>
          <w:szCs w:val="28"/>
          <w:rtl/>
        </w:rPr>
        <w:t>י-ם)</w:t>
      </w:r>
      <w:r w:rsidR="008E6CE6" w:rsidRPr="006F0935">
        <w:rPr>
          <w:rFonts w:ascii="FrankRuehl" w:hAnsi="FrankRuehl" w:cs="FrankRuehl"/>
          <w:b/>
          <w:bCs/>
          <w:color w:val="000000"/>
          <w:sz w:val="28"/>
          <w:szCs w:val="28"/>
          <w:rtl/>
        </w:rPr>
        <w:t xml:space="preserve"> 59794-01-17‏ מדינת ישראל נ' קירמה</w:t>
      </w:r>
      <w:r w:rsidRPr="006F0935">
        <w:rPr>
          <w:rFonts w:ascii="FrankRuehl" w:hAnsi="FrankRuehl" w:cs="FrankRuehl"/>
          <w:color w:val="000000"/>
          <w:sz w:val="28"/>
          <w:szCs w:val="28"/>
          <w:rtl/>
        </w:rPr>
        <w:t>,</w:t>
      </w:r>
      <w:r w:rsidRPr="006F0935">
        <w:rPr>
          <w:rFonts w:ascii="FrankRuehl" w:hAnsi="FrankRuehl" w:cs="FrankRuehl"/>
          <w:b/>
          <w:bCs/>
          <w:color w:val="000000"/>
          <w:sz w:val="28"/>
          <w:szCs w:val="28"/>
          <w:rtl/>
        </w:rPr>
        <w:t xml:space="preserve"> </w:t>
      </w:r>
      <w:r w:rsidR="008E6CE6" w:rsidRPr="006F0935">
        <w:rPr>
          <w:rFonts w:ascii="FrankRuehl" w:hAnsi="FrankRuehl" w:cs="FrankRuehl"/>
          <w:color w:val="000000"/>
          <w:sz w:val="28"/>
          <w:szCs w:val="28"/>
          <w:rtl/>
        </w:rPr>
        <w:t xml:space="preserve">נאשם, שהיה במועד ביצוע העבירות </w:t>
      </w:r>
      <w:r w:rsidR="008E6CE6" w:rsidRPr="006F0935">
        <w:rPr>
          <w:rFonts w:ascii="FrankRuehl" w:hAnsi="FrankRuehl" w:cs="FrankRuehl"/>
          <w:color w:val="000000"/>
          <w:sz w:val="28"/>
          <w:szCs w:val="28"/>
          <w:u w:val="single"/>
          <w:rtl/>
        </w:rPr>
        <w:t>שוטר</w:t>
      </w:r>
      <w:r w:rsidR="008E6CE6" w:rsidRPr="006F0935">
        <w:rPr>
          <w:rFonts w:ascii="FrankRuehl" w:hAnsi="FrankRuehl" w:cs="FrankRuehl"/>
          <w:color w:val="000000"/>
          <w:sz w:val="28"/>
          <w:szCs w:val="28"/>
          <w:rtl/>
        </w:rPr>
        <w:t>, הורשע ב</w:t>
      </w:r>
      <w:r w:rsidR="008E6CE6" w:rsidRPr="005403D9">
        <w:rPr>
          <w:rFonts w:ascii="FrankRuehl" w:hAnsi="FrankRuehl" w:cs="FrankRuehl"/>
          <w:color w:val="000000"/>
          <w:sz w:val="28"/>
          <w:szCs w:val="28"/>
          <w:u w:val="single"/>
          <w:rtl/>
        </w:rPr>
        <w:t>שבע עבירות</w:t>
      </w:r>
      <w:r w:rsidR="008E6CE6" w:rsidRPr="006F0935">
        <w:rPr>
          <w:rFonts w:ascii="FrankRuehl" w:hAnsi="FrankRuehl" w:cs="FrankRuehl"/>
          <w:color w:val="000000"/>
          <w:sz w:val="28"/>
          <w:szCs w:val="28"/>
          <w:rtl/>
        </w:rPr>
        <w:t xml:space="preserve"> קבלת שוחד,</w:t>
      </w:r>
      <w:r w:rsidRPr="006F0935">
        <w:rPr>
          <w:rFonts w:ascii="FrankRuehl" w:hAnsi="FrankRuehl" w:cs="FrankRuehl"/>
          <w:color w:val="000000"/>
          <w:sz w:val="28"/>
          <w:szCs w:val="28"/>
          <w:rtl/>
        </w:rPr>
        <w:t xml:space="preserve"> שביצע </w:t>
      </w:r>
      <w:r w:rsidRPr="005403D9">
        <w:rPr>
          <w:rFonts w:ascii="FrankRuehl" w:hAnsi="FrankRuehl" w:cs="FrankRuehl"/>
          <w:color w:val="000000"/>
          <w:sz w:val="28"/>
          <w:szCs w:val="28"/>
          <w:u w:val="single"/>
          <w:rtl/>
        </w:rPr>
        <w:t>בתקופה שבין השנים 2012 ו-2014</w:t>
      </w:r>
      <w:r w:rsidRPr="006F0935">
        <w:rPr>
          <w:rFonts w:ascii="FrankRuehl" w:hAnsi="FrankRuehl" w:cs="FrankRuehl"/>
          <w:color w:val="000000"/>
          <w:sz w:val="28"/>
          <w:szCs w:val="28"/>
          <w:rtl/>
        </w:rPr>
        <w:t xml:space="preserve">, בכך שיצר קשר עם </w:t>
      </w:r>
      <w:r w:rsidR="008E6CE6" w:rsidRPr="006F0935">
        <w:rPr>
          <w:rFonts w:ascii="FrankRuehl" w:hAnsi="FrankRuehl" w:cs="FrankRuehl"/>
          <w:color w:val="000000"/>
          <w:sz w:val="28"/>
          <w:szCs w:val="28"/>
          <w:rtl/>
        </w:rPr>
        <w:t>תושבת מזרח ירושלים אשר שהתה בישראל, ללא אישור שהייה כדין</w:t>
      </w:r>
      <w:r w:rsidRPr="006F0935">
        <w:rPr>
          <w:rFonts w:ascii="FrankRuehl" w:hAnsi="FrankRuehl" w:cs="FrankRuehl"/>
          <w:color w:val="000000"/>
          <w:sz w:val="28"/>
          <w:szCs w:val="28"/>
          <w:rtl/>
        </w:rPr>
        <w:t xml:space="preserve">, וזו נתנה לו </w:t>
      </w:r>
      <w:r w:rsidR="008E6CE6" w:rsidRPr="006F0935">
        <w:rPr>
          <w:rFonts w:ascii="FrankRuehl" w:hAnsi="FrankRuehl" w:cs="FrankRuehl"/>
          <w:color w:val="000000"/>
          <w:sz w:val="28"/>
          <w:szCs w:val="28"/>
          <w:rtl/>
        </w:rPr>
        <w:t xml:space="preserve">כסף מזומן וטובין שונים על מנת שישמור עליה, מתוקף תפקידו כשוטר. </w:t>
      </w:r>
      <w:r w:rsidRPr="006F0935">
        <w:rPr>
          <w:rFonts w:ascii="FrankRuehl" w:hAnsi="FrankRuehl" w:cs="FrankRuehl"/>
          <w:color w:val="000000"/>
          <w:sz w:val="28"/>
          <w:szCs w:val="28"/>
          <w:rtl/>
        </w:rPr>
        <w:t xml:space="preserve">במסגרת ההסדר הוסכם, כי המאשימה תטען למתחם עונש הולם הנע מ-8 ועד </w:t>
      </w:r>
      <w:r w:rsidR="00664EF1" w:rsidRPr="006F0935">
        <w:rPr>
          <w:rFonts w:ascii="FrankRuehl" w:hAnsi="FrankRuehl" w:cs="FrankRuehl"/>
          <w:color w:val="000000"/>
          <w:sz w:val="28"/>
          <w:szCs w:val="28"/>
          <w:rtl/>
        </w:rPr>
        <w:t>24 חודשי מאסר.</w:t>
      </w:r>
    </w:p>
    <w:p w:rsidR="00102916" w:rsidRPr="006F0935" w:rsidRDefault="00664EF1" w:rsidP="006F0935">
      <w:pPr>
        <w:pStyle w:val="af"/>
        <w:numPr>
          <w:ilvl w:val="0"/>
          <w:numId w:val="6"/>
        </w:numPr>
        <w:spacing w:after="160" w:line="360" w:lineRule="auto"/>
        <w:jc w:val="both"/>
        <w:rPr>
          <w:rFonts w:ascii="FrankRuehl" w:hAnsi="FrankRuehl" w:cs="FrankRuehl"/>
          <w:color w:val="000000"/>
          <w:sz w:val="28"/>
          <w:szCs w:val="28"/>
          <w:rtl/>
        </w:rPr>
      </w:pPr>
      <w:r w:rsidRPr="006F0935">
        <w:rPr>
          <w:rFonts w:ascii="FrankRuehl" w:eastAsia="Calibri" w:hAnsi="FrankRuehl" w:cs="FrankRuehl"/>
          <w:sz w:val="28"/>
          <w:szCs w:val="28"/>
          <w:rtl/>
        </w:rPr>
        <w:t>בת"פ (מחוזי-ב"ש) 18289-11-15</w:t>
      </w:r>
      <w:r w:rsidR="008E6CE6" w:rsidRPr="006F0935">
        <w:rPr>
          <w:rFonts w:ascii="FrankRuehl" w:hAnsi="FrankRuehl" w:cs="FrankRuehl"/>
          <w:color w:val="000000"/>
          <w:sz w:val="28"/>
          <w:szCs w:val="28"/>
          <w:rtl/>
        </w:rPr>
        <w:t> </w:t>
      </w:r>
      <w:r w:rsidR="008E6CE6" w:rsidRPr="006F0935">
        <w:rPr>
          <w:rFonts w:ascii="FrankRuehl" w:hAnsi="FrankRuehl" w:cs="FrankRuehl"/>
          <w:b/>
          <w:bCs/>
          <w:color w:val="000000"/>
          <w:sz w:val="28"/>
          <w:szCs w:val="28"/>
          <w:rtl/>
        </w:rPr>
        <w:t>המחלקה לחקירות שוטרים נ</w:t>
      </w:r>
      <w:r w:rsidRPr="006F0935">
        <w:rPr>
          <w:rFonts w:ascii="FrankRuehl" w:hAnsi="FrankRuehl" w:cs="FrankRuehl"/>
          <w:b/>
          <w:bCs/>
          <w:color w:val="000000"/>
          <w:sz w:val="28"/>
          <w:szCs w:val="28"/>
          <w:rtl/>
        </w:rPr>
        <w:t xml:space="preserve">' </w:t>
      </w:r>
      <w:r w:rsidR="008E6CE6" w:rsidRPr="006F0935">
        <w:rPr>
          <w:rFonts w:ascii="FrankRuehl" w:hAnsi="FrankRuehl" w:cs="FrankRuehl"/>
          <w:b/>
          <w:bCs/>
          <w:color w:val="000000"/>
          <w:sz w:val="28"/>
          <w:szCs w:val="28"/>
          <w:rtl/>
        </w:rPr>
        <w:t>תמים </w:t>
      </w:r>
      <w:r w:rsidR="008E6CE6" w:rsidRPr="006F0935">
        <w:rPr>
          <w:rFonts w:ascii="FrankRuehl" w:hAnsi="FrankRuehl" w:cs="FrankRuehl"/>
          <w:color w:val="000000"/>
          <w:sz w:val="28"/>
          <w:szCs w:val="28"/>
          <w:rtl/>
        </w:rPr>
        <w:t>(29.</w:t>
      </w:r>
      <w:r w:rsidRPr="006F0935">
        <w:rPr>
          <w:rFonts w:ascii="FrankRuehl" w:hAnsi="FrankRuehl" w:cs="FrankRuehl"/>
          <w:color w:val="000000"/>
          <w:sz w:val="28"/>
          <w:szCs w:val="28"/>
          <w:rtl/>
        </w:rPr>
        <w:t>0</w:t>
      </w:r>
      <w:r w:rsidR="008E6CE6" w:rsidRPr="006F0935">
        <w:rPr>
          <w:rFonts w:ascii="FrankRuehl" w:hAnsi="FrankRuehl" w:cs="FrankRuehl"/>
          <w:color w:val="000000"/>
          <w:sz w:val="28"/>
          <w:szCs w:val="28"/>
          <w:rtl/>
        </w:rPr>
        <w:t>6.17)</w:t>
      </w:r>
      <w:r w:rsidR="008E6CE6" w:rsidRPr="006F0935">
        <w:rPr>
          <w:rFonts w:ascii="FrankRuehl" w:hAnsi="FrankRuehl" w:cs="FrankRuehl"/>
          <w:b/>
          <w:bCs/>
          <w:color w:val="000000"/>
          <w:sz w:val="28"/>
          <w:szCs w:val="28"/>
          <w:rtl/>
        </w:rPr>
        <w:t> </w:t>
      </w:r>
      <w:r w:rsidRPr="006F0935">
        <w:rPr>
          <w:rFonts w:ascii="FrankRuehl" w:hAnsi="FrankRuehl" w:cs="FrankRuehl"/>
          <w:color w:val="000000"/>
          <w:sz w:val="28"/>
          <w:szCs w:val="28"/>
          <w:rtl/>
        </w:rPr>
        <w:t>נידון עניינו ש</w:t>
      </w:r>
      <w:r w:rsidR="008E6CE6" w:rsidRPr="006F0935">
        <w:rPr>
          <w:rFonts w:ascii="FrankRuehl" w:hAnsi="FrankRuehl" w:cs="FrankRuehl"/>
          <w:color w:val="000000"/>
          <w:sz w:val="28"/>
          <w:szCs w:val="28"/>
          <w:rtl/>
        </w:rPr>
        <w:t xml:space="preserve">ל </w:t>
      </w:r>
      <w:r w:rsidR="008E6CE6" w:rsidRPr="006F0935">
        <w:rPr>
          <w:rFonts w:ascii="FrankRuehl" w:hAnsi="FrankRuehl" w:cs="FrankRuehl"/>
          <w:color w:val="000000"/>
          <w:sz w:val="28"/>
          <w:szCs w:val="28"/>
          <w:u w:val="single"/>
          <w:rtl/>
        </w:rPr>
        <w:t>מתנדב במשטרת ישראל</w:t>
      </w:r>
      <w:r w:rsidR="008E6CE6" w:rsidRPr="006F0935">
        <w:rPr>
          <w:rFonts w:ascii="FrankRuehl" w:hAnsi="FrankRuehl" w:cs="FrankRuehl"/>
          <w:color w:val="000000"/>
          <w:sz w:val="28"/>
          <w:szCs w:val="28"/>
          <w:rtl/>
        </w:rPr>
        <w:t xml:space="preserve"> אשר הורשע על פי הודאתו </w:t>
      </w:r>
      <w:r w:rsidR="008E6CE6" w:rsidRPr="005403D9">
        <w:rPr>
          <w:rFonts w:ascii="FrankRuehl" w:hAnsi="FrankRuehl" w:cs="FrankRuehl"/>
          <w:color w:val="000000"/>
          <w:sz w:val="28"/>
          <w:szCs w:val="28"/>
          <w:u w:val="single"/>
          <w:rtl/>
        </w:rPr>
        <w:t>ב</w:t>
      </w:r>
      <w:r w:rsidRPr="005403D9">
        <w:rPr>
          <w:rFonts w:ascii="FrankRuehl" w:hAnsi="FrankRuehl" w:cs="FrankRuehl"/>
          <w:color w:val="000000"/>
          <w:sz w:val="28"/>
          <w:szCs w:val="28"/>
          <w:u w:val="single"/>
          <w:rtl/>
        </w:rPr>
        <w:t>-</w:t>
      </w:r>
      <w:r w:rsidR="008E6CE6" w:rsidRPr="005403D9">
        <w:rPr>
          <w:rFonts w:ascii="FrankRuehl" w:hAnsi="FrankRuehl" w:cs="FrankRuehl"/>
          <w:color w:val="000000"/>
          <w:sz w:val="28"/>
          <w:szCs w:val="28"/>
          <w:u w:val="single"/>
          <w:rtl/>
        </w:rPr>
        <w:t>16 עבירות של שוחד</w:t>
      </w:r>
      <w:r w:rsidR="008E6CE6" w:rsidRPr="006F0935">
        <w:rPr>
          <w:rFonts w:ascii="FrankRuehl" w:hAnsi="FrankRuehl" w:cs="FrankRuehl"/>
          <w:color w:val="000000"/>
          <w:sz w:val="28"/>
          <w:szCs w:val="28"/>
          <w:rtl/>
        </w:rPr>
        <w:t xml:space="preserve">, 7 עבירות של הפרת אמונים, עבירה אחת של החזקת נכס החשוד כגנוב, עבירה אחת של </w:t>
      </w:r>
      <w:r w:rsidR="008E6CE6" w:rsidRPr="006F0935">
        <w:rPr>
          <w:rFonts w:ascii="FrankRuehl" w:hAnsi="FrankRuehl" w:cs="FrankRuehl"/>
          <w:color w:val="000000"/>
          <w:sz w:val="28"/>
          <w:szCs w:val="28"/>
          <w:rtl/>
        </w:rPr>
        <w:lastRenderedPageBreak/>
        <w:t>קשירת קשר לביצוע עוון וכן עבירה נוספת של הפרת יסודית</w:t>
      </w:r>
      <w:r w:rsidRPr="006F0935">
        <w:rPr>
          <w:rFonts w:ascii="FrankRuehl" w:hAnsi="FrankRuehl" w:cs="FrankRuehl"/>
          <w:color w:val="000000"/>
          <w:sz w:val="28"/>
          <w:szCs w:val="28"/>
          <w:rtl/>
        </w:rPr>
        <w:t xml:space="preserve">, והושת עליו עונש של </w:t>
      </w:r>
      <w:r w:rsidR="008E6CE6" w:rsidRPr="006F0935">
        <w:rPr>
          <w:rFonts w:ascii="FrankRuehl" w:hAnsi="FrankRuehl" w:cs="FrankRuehl"/>
          <w:color w:val="000000"/>
          <w:sz w:val="28"/>
          <w:szCs w:val="28"/>
          <w:rtl/>
        </w:rPr>
        <w:t>18 חודשי מאסר לריצוי בפועל</w:t>
      </w:r>
      <w:r w:rsidR="00102916" w:rsidRPr="006F0935">
        <w:rPr>
          <w:rFonts w:ascii="FrankRuehl" w:hAnsi="FrankRuehl" w:cs="FrankRuehl"/>
          <w:color w:val="000000"/>
          <w:sz w:val="28"/>
          <w:szCs w:val="28"/>
          <w:rtl/>
        </w:rPr>
        <w:t>.</w:t>
      </w:r>
      <w:r w:rsidR="00C02CBE" w:rsidRPr="006F0935">
        <w:rPr>
          <w:rFonts w:ascii="FrankRuehl" w:hAnsi="FrankRuehl" w:cs="FrankRuehl" w:hint="cs"/>
          <w:color w:val="000000"/>
          <w:sz w:val="28"/>
          <w:szCs w:val="28"/>
          <w:rtl/>
        </w:rPr>
        <w:t xml:space="preserve"> </w:t>
      </w:r>
    </w:p>
    <w:p w:rsidR="00C02CBE" w:rsidRPr="006F0935" w:rsidRDefault="00C02CBE" w:rsidP="006F0935">
      <w:pPr>
        <w:pStyle w:val="af"/>
        <w:numPr>
          <w:ilvl w:val="0"/>
          <w:numId w:val="6"/>
        </w:numPr>
        <w:spacing w:line="360" w:lineRule="auto"/>
        <w:jc w:val="both"/>
        <w:rPr>
          <w:rFonts w:ascii="FrankRuehl" w:hAnsi="FrankRuehl" w:cs="FrankRuehl"/>
          <w:color w:val="000000"/>
          <w:sz w:val="28"/>
          <w:szCs w:val="28"/>
          <w:rtl/>
        </w:rPr>
      </w:pPr>
      <w:r w:rsidRPr="006F0935">
        <w:rPr>
          <w:rFonts w:ascii="FrankRuehl" w:hAnsi="FrankRuehl" w:cs="FrankRuehl"/>
          <w:color w:val="000000"/>
          <w:sz w:val="28"/>
          <w:szCs w:val="28"/>
          <w:rtl/>
        </w:rPr>
        <w:t>בע"פ 8758/15 </w:t>
      </w:r>
      <w:r w:rsidRPr="006F0935">
        <w:rPr>
          <w:rFonts w:ascii="FrankRuehl" w:hAnsi="FrankRuehl" w:cs="FrankRuehl"/>
          <w:b/>
          <w:bCs/>
          <w:color w:val="000000"/>
          <w:sz w:val="28"/>
          <w:szCs w:val="28"/>
          <w:rtl/>
        </w:rPr>
        <w:t>כרמל נ' מדינת ישראל</w:t>
      </w:r>
      <w:r w:rsidRPr="006F0935">
        <w:rPr>
          <w:rFonts w:ascii="FrankRuehl" w:hAnsi="FrankRuehl" w:cs="FrankRuehl"/>
          <w:color w:val="000000"/>
          <w:sz w:val="28"/>
          <w:szCs w:val="28"/>
          <w:rtl/>
        </w:rPr>
        <w:t xml:space="preserve"> (23.03.16), נידון נאשם, שניצל את תפקידו </w:t>
      </w:r>
      <w:r w:rsidRPr="006F0935">
        <w:rPr>
          <w:rFonts w:ascii="FrankRuehl" w:hAnsi="FrankRuehl" w:cs="FrankRuehl"/>
          <w:color w:val="000000"/>
          <w:sz w:val="28"/>
          <w:szCs w:val="28"/>
          <w:u w:val="single"/>
          <w:rtl/>
        </w:rPr>
        <w:t>כקצין מתנדבים במשמר הגבול</w:t>
      </w:r>
      <w:r w:rsidRPr="006F0935">
        <w:rPr>
          <w:rFonts w:ascii="FrankRuehl" w:hAnsi="FrankRuehl" w:cs="FrankRuehl"/>
          <w:color w:val="000000"/>
          <w:sz w:val="28"/>
          <w:szCs w:val="28"/>
          <w:rtl/>
        </w:rPr>
        <w:t xml:space="preserve"> וקיבל מאזרחים שוחד, בסכום של 23,500 ₪, בחמישה מקרים בתמורה להבטחה שיסגור תיקים פליליים המתנהלים נגדם או ינפיק אישורי כניסה לישראל לתושבי הרשות הפלסטינית. על הנאשם הושת עונש מאסר בפועל לתקופה של 18 חודשים, מאסר על תנאי וקנס, ובית המשפט העליון דחה את הערעור.</w:t>
      </w:r>
    </w:p>
    <w:p w:rsidR="00102916" w:rsidRDefault="00C02CBE" w:rsidP="006F0935">
      <w:pPr>
        <w:pStyle w:val="af"/>
        <w:numPr>
          <w:ilvl w:val="0"/>
          <w:numId w:val="6"/>
        </w:numPr>
        <w:spacing w:after="160" w:line="360" w:lineRule="auto"/>
        <w:jc w:val="both"/>
        <w:rPr>
          <w:rFonts w:ascii="FrankRuehl" w:hAnsi="FrankRuehl" w:cs="FrankRuehl"/>
          <w:b/>
          <w:bCs/>
          <w:color w:val="000000"/>
          <w:sz w:val="28"/>
          <w:szCs w:val="28"/>
        </w:rPr>
      </w:pPr>
      <w:r w:rsidRPr="006F0935">
        <w:rPr>
          <w:rFonts w:ascii="FrankRuehl" w:hAnsi="FrankRuehl" w:cs="FrankRuehl" w:hint="cs"/>
          <w:color w:val="000000"/>
          <w:sz w:val="28"/>
          <w:szCs w:val="28"/>
          <w:rtl/>
        </w:rPr>
        <w:t>בע"פ 1993/20</w:t>
      </w:r>
      <w:r w:rsidRPr="006F0935">
        <w:rPr>
          <w:rFonts w:ascii="FrankRuehl" w:hAnsi="FrankRuehl" w:cs="FrankRuehl"/>
          <w:color w:val="000000"/>
          <w:sz w:val="28"/>
          <w:szCs w:val="28"/>
          <w:rtl/>
        </w:rPr>
        <w:t> </w:t>
      </w:r>
      <w:r w:rsidRPr="006F0935">
        <w:rPr>
          <w:rFonts w:ascii="FrankRuehl" w:hAnsi="FrankRuehl" w:cs="FrankRuehl"/>
          <w:b/>
          <w:bCs/>
          <w:color w:val="000000"/>
          <w:sz w:val="28"/>
          <w:szCs w:val="28"/>
          <w:rtl/>
        </w:rPr>
        <w:t>מור נ' מדינת ישראל</w:t>
      </w:r>
      <w:r w:rsidRPr="006F0935">
        <w:rPr>
          <w:rFonts w:ascii="FrankRuehl" w:hAnsi="FrankRuehl" w:cs="FrankRuehl"/>
          <w:color w:val="000000"/>
          <w:sz w:val="28"/>
          <w:szCs w:val="28"/>
          <w:rtl/>
        </w:rPr>
        <w:t> (10.</w:t>
      </w:r>
      <w:r w:rsidRPr="006F0935">
        <w:rPr>
          <w:rFonts w:ascii="FrankRuehl" w:hAnsi="FrankRuehl" w:cs="FrankRuehl" w:hint="cs"/>
          <w:color w:val="000000"/>
          <w:sz w:val="28"/>
          <w:szCs w:val="28"/>
          <w:rtl/>
        </w:rPr>
        <w:t>0</w:t>
      </w:r>
      <w:r w:rsidRPr="006F0935">
        <w:rPr>
          <w:rFonts w:ascii="FrankRuehl" w:hAnsi="FrankRuehl" w:cs="FrankRuehl"/>
          <w:color w:val="000000"/>
          <w:sz w:val="28"/>
          <w:szCs w:val="28"/>
          <w:rtl/>
        </w:rPr>
        <w:t>9.20)</w:t>
      </w:r>
      <w:r w:rsidRPr="006F0935">
        <w:rPr>
          <w:rFonts w:ascii="FrankRuehl" w:hAnsi="FrankRuehl" w:cs="FrankRuehl" w:hint="cs"/>
          <w:color w:val="000000"/>
          <w:sz w:val="28"/>
          <w:szCs w:val="28"/>
          <w:rtl/>
        </w:rPr>
        <w:t>, נידון עניינו של נאשם ש</w:t>
      </w:r>
      <w:r w:rsidRPr="006F0935">
        <w:rPr>
          <w:rFonts w:ascii="FrankRuehl" w:hAnsi="FrankRuehl" w:cs="FrankRuehl"/>
          <w:color w:val="000000"/>
          <w:sz w:val="28"/>
          <w:szCs w:val="28"/>
          <w:rtl/>
        </w:rPr>
        <w:t>הורשע בשתי עבירות של לקיחת שוחד, בשתי עבירות של מרמה והפרת אמונים ובעבירה של שיבוש מהלכי משפט. מדובר</w:t>
      </w:r>
      <w:r w:rsidRPr="006F0935">
        <w:rPr>
          <w:rFonts w:ascii="FrankRuehl" w:hAnsi="FrankRuehl" w:cs="FrankRuehl" w:hint="cs"/>
          <w:color w:val="000000"/>
          <w:sz w:val="28"/>
          <w:szCs w:val="28"/>
          <w:rtl/>
        </w:rPr>
        <w:t xml:space="preserve"> היה</w:t>
      </w:r>
      <w:r w:rsidRPr="006F0935">
        <w:rPr>
          <w:rFonts w:ascii="FrankRuehl" w:hAnsi="FrankRuehl" w:cs="FrankRuehl"/>
          <w:color w:val="000000"/>
          <w:sz w:val="28"/>
          <w:szCs w:val="28"/>
          <w:rtl/>
        </w:rPr>
        <w:t xml:space="preserve"> בעבירות שביצע ה</w:t>
      </w:r>
      <w:r w:rsidRPr="006F0935">
        <w:rPr>
          <w:rFonts w:ascii="FrankRuehl" w:hAnsi="FrankRuehl" w:cs="FrankRuehl" w:hint="cs"/>
          <w:color w:val="000000"/>
          <w:sz w:val="28"/>
          <w:szCs w:val="28"/>
          <w:rtl/>
        </w:rPr>
        <w:t xml:space="preserve">נאשם </w:t>
      </w:r>
      <w:r w:rsidRPr="006F0935">
        <w:rPr>
          <w:rFonts w:ascii="FrankRuehl" w:hAnsi="FrankRuehl" w:cs="FrankRuehl"/>
          <w:color w:val="000000"/>
          <w:sz w:val="28"/>
          <w:szCs w:val="28"/>
          <w:u w:val="single"/>
          <w:rtl/>
        </w:rPr>
        <w:t>במסגרת תפקידו כשוטר</w:t>
      </w:r>
      <w:r w:rsidRPr="006F0935">
        <w:rPr>
          <w:rFonts w:ascii="FrankRuehl" w:hAnsi="FrankRuehl" w:cs="FrankRuehl"/>
          <w:color w:val="000000"/>
          <w:sz w:val="28"/>
          <w:szCs w:val="28"/>
          <w:rtl/>
        </w:rPr>
        <w:t xml:space="preserve"> אשר טיפל בהליכי רישוי עסקים וקיבל סכומי כסף המגיעים כדי 22,000 ₪ וכן טובות הנאה בדמות מכשירים סלולריים ומימון עלויות טיסה. עונשו של ה</w:t>
      </w:r>
      <w:r w:rsidRPr="006F0935">
        <w:rPr>
          <w:rFonts w:ascii="FrankRuehl" w:hAnsi="FrankRuehl" w:cs="FrankRuehl" w:hint="cs"/>
          <w:color w:val="000000"/>
          <w:sz w:val="28"/>
          <w:szCs w:val="28"/>
          <w:rtl/>
        </w:rPr>
        <w:t>נאשם ה</w:t>
      </w:r>
      <w:r w:rsidRPr="006F0935">
        <w:rPr>
          <w:rFonts w:ascii="FrankRuehl" w:hAnsi="FrankRuehl" w:cs="FrankRuehl"/>
          <w:color w:val="000000"/>
          <w:sz w:val="28"/>
          <w:szCs w:val="28"/>
          <w:rtl/>
        </w:rPr>
        <w:t>ועמד על 18 חודשי מאסר</w:t>
      </w:r>
      <w:r w:rsidRPr="006F0935">
        <w:rPr>
          <w:rFonts w:ascii="FrankRuehl" w:hAnsi="FrankRuehl" w:cs="FrankRuehl" w:hint="cs"/>
          <w:color w:val="000000"/>
          <w:sz w:val="28"/>
          <w:szCs w:val="28"/>
          <w:rtl/>
        </w:rPr>
        <w:t>.</w:t>
      </w:r>
    </w:p>
    <w:p w:rsidR="00C02CBE" w:rsidRDefault="006F0935" w:rsidP="008C5CA8">
      <w:pPr>
        <w:pStyle w:val="af"/>
        <w:numPr>
          <w:ilvl w:val="0"/>
          <w:numId w:val="6"/>
        </w:numPr>
        <w:spacing w:after="160" w:line="360" w:lineRule="auto"/>
        <w:jc w:val="both"/>
        <w:rPr>
          <w:rFonts w:ascii="FrankRuehl" w:hAnsi="FrankRuehl" w:cs="FrankRuehl"/>
          <w:color w:val="000000"/>
          <w:sz w:val="28"/>
          <w:szCs w:val="28"/>
        </w:rPr>
      </w:pPr>
      <w:r w:rsidRPr="006F0935">
        <w:rPr>
          <w:rFonts w:ascii="FrankRuehl" w:hAnsi="FrankRuehl" w:cs="FrankRuehl" w:hint="cs"/>
          <w:color w:val="000000"/>
          <w:sz w:val="28"/>
          <w:szCs w:val="28"/>
          <w:rtl/>
        </w:rPr>
        <w:t>ברע"פ 2781/12</w:t>
      </w:r>
      <w:r w:rsidR="00C02CBE" w:rsidRPr="006F0935">
        <w:rPr>
          <w:rFonts w:ascii="FrankRuehl" w:hAnsi="FrankRuehl" w:cs="FrankRuehl"/>
          <w:color w:val="000000"/>
          <w:sz w:val="28"/>
          <w:szCs w:val="28"/>
          <w:rtl/>
        </w:rPr>
        <w:t> </w:t>
      </w:r>
      <w:r w:rsidR="00C02CBE" w:rsidRPr="006F0935">
        <w:rPr>
          <w:rFonts w:ascii="FrankRuehl" w:hAnsi="FrankRuehl" w:cs="FrankRuehl"/>
          <w:b/>
          <w:bCs/>
          <w:color w:val="000000"/>
          <w:sz w:val="28"/>
          <w:szCs w:val="28"/>
          <w:rtl/>
        </w:rPr>
        <w:t>משולם נ' מדינת ישראל</w:t>
      </w:r>
      <w:r w:rsidR="00377936">
        <w:rPr>
          <w:rFonts w:ascii="FrankRuehl" w:hAnsi="FrankRuehl" w:cs="FrankRuehl"/>
          <w:color w:val="000000"/>
          <w:sz w:val="28"/>
          <w:szCs w:val="28"/>
          <w:rtl/>
        </w:rPr>
        <w:t> </w:t>
      </w:r>
      <w:r w:rsidR="00C02CBE" w:rsidRPr="006F0935">
        <w:rPr>
          <w:rFonts w:ascii="FrankRuehl" w:hAnsi="FrankRuehl" w:cs="FrankRuehl"/>
          <w:color w:val="000000"/>
          <w:sz w:val="28"/>
          <w:szCs w:val="28"/>
          <w:rtl/>
        </w:rPr>
        <w:t>(8.</w:t>
      </w:r>
      <w:r w:rsidR="00377936">
        <w:rPr>
          <w:rFonts w:ascii="FrankRuehl" w:hAnsi="FrankRuehl" w:cs="FrankRuehl" w:hint="cs"/>
          <w:color w:val="000000"/>
          <w:sz w:val="28"/>
          <w:szCs w:val="28"/>
          <w:rtl/>
        </w:rPr>
        <w:t>0</w:t>
      </w:r>
      <w:r w:rsidR="00C02CBE" w:rsidRPr="006F0935">
        <w:rPr>
          <w:rFonts w:ascii="FrankRuehl" w:hAnsi="FrankRuehl" w:cs="FrankRuehl"/>
          <w:color w:val="000000"/>
          <w:sz w:val="28"/>
          <w:szCs w:val="28"/>
          <w:rtl/>
        </w:rPr>
        <w:t>4.12)</w:t>
      </w:r>
      <w:r w:rsidR="008C5CA8">
        <w:rPr>
          <w:rFonts w:ascii="FrankRuehl" w:hAnsi="FrankRuehl" w:cs="FrankRuehl" w:hint="cs"/>
          <w:color w:val="000000"/>
          <w:sz w:val="28"/>
          <w:szCs w:val="28"/>
          <w:rtl/>
        </w:rPr>
        <w:t>, אליו הפנו ב"כ הנאשם,</w:t>
      </w:r>
      <w:r w:rsidR="00C02CBE" w:rsidRPr="006F0935">
        <w:rPr>
          <w:rFonts w:ascii="FrankRuehl" w:hAnsi="FrankRuehl" w:cs="FrankRuehl"/>
          <w:color w:val="000000"/>
          <w:sz w:val="28"/>
          <w:szCs w:val="28"/>
          <w:rtl/>
        </w:rPr>
        <w:t xml:space="preserve"> המערער הורשע על פי הודאתו בחמישה מקרים בהם קיבל שוחד </w:t>
      </w:r>
      <w:r w:rsidR="00C02CBE" w:rsidRPr="006F0935">
        <w:rPr>
          <w:rFonts w:ascii="FrankRuehl" w:hAnsi="FrankRuehl" w:cs="FrankRuehl"/>
          <w:color w:val="000000"/>
          <w:sz w:val="28"/>
          <w:szCs w:val="28"/>
          <w:u w:val="single"/>
          <w:rtl/>
        </w:rPr>
        <w:t>בטרם פרש משירותו במשטרה</w:t>
      </w:r>
      <w:r w:rsidR="00C02CBE" w:rsidRPr="006F0935">
        <w:rPr>
          <w:rFonts w:ascii="FrankRuehl" w:hAnsi="FrankRuehl" w:cs="FrankRuehl"/>
          <w:color w:val="000000"/>
          <w:sz w:val="28"/>
          <w:szCs w:val="28"/>
          <w:rtl/>
        </w:rPr>
        <w:t xml:space="preserve"> ובעת שכיהן כראש לשכת תביעות תעבורה ובתשעה מקרים בהם קיבל שוחד לאחר פרישתו ובעת שהתנדב בלשכת התביעות. על פי המתואר, דאג המערער לקדם ענייניהם של אנשים שהועמדו לדין בעבירות תעבורה ובמסגרת ייעוץ שנתן להם השיג עבורם תוצאות מיטיבות בתמורה לכספים שקיבל מהם. על המערער הושתו 7 חודשי מאסר בפועל ומאסר מותנה.</w:t>
      </w:r>
    </w:p>
    <w:p w:rsidR="00C02CBE" w:rsidRPr="006F0935" w:rsidRDefault="006F0935" w:rsidP="005403D9">
      <w:pPr>
        <w:pStyle w:val="af"/>
        <w:numPr>
          <w:ilvl w:val="0"/>
          <w:numId w:val="6"/>
        </w:numPr>
        <w:spacing w:after="160" w:line="360" w:lineRule="auto"/>
        <w:jc w:val="both"/>
        <w:rPr>
          <w:rFonts w:ascii="FrankRuehl" w:hAnsi="FrankRuehl" w:cs="FrankRuehl"/>
          <w:color w:val="000000"/>
          <w:sz w:val="28"/>
          <w:szCs w:val="28"/>
          <w:rtl/>
        </w:rPr>
      </w:pPr>
      <w:r w:rsidRPr="006F0935">
        <w:rPr>
          <w:rFonts w:ascii="FrankRuehl" w:hAnsi="FrankRuehl" w:cs="FrankRuehl" w:hint="cs"/>
          <w:color w:val="000000"/>
          <w:sz w:val="28"/>
          <w:szCs w:val="28"/>
          <w:rtl/>
        </w:rPr>
        <w:t>בת"פ (מחוזי-מרכז) 19275-07-15</w:t>
      </w:r>
      <w:r w:rsidR="00C02CBE" w:rsidRPr="006F0935">
        <w:rPr>
          <w:rFonts w:ascii="FrankRuehl" w:hAnsi="FrankRuehl" w:cs="FrankRuehl"/>
          <w:color w:val="000000"/>
          <w:sz w:val="28"/>
          <w:szCs w:val="28"/>
          <w:rtl/>
        </w:rPr>
        <w:t> </w:t>
      </w:r>
      <w:r w:rsidR="00C02CBE" w:rsidRPr="006F0935">
        <w:rPr>
          <w:rFonts w:ascii="FrankRuehl" w:hAnsi="FrankRuehl" w:cs="FrankRuehl"/>
          <w:b/>
          <w:bCs/>
          <w:color w:val="000000"/>
          <w:sz w:val="28"/>
          <w:szCs w:val="28"/>
          <w:rtl/>
        </w:rPr>
        <w:t>מדינת ישראל נ' ברנס</w:t>
      </w:r>
      <w:r w:rsidR="00C02CBE" w:rsidRPr="006F0935">
        <w:rPr>
          <w:rFonts w:ascii="FrankRuehl" w:hAnsi="FrankRuehl" w:cs="FrankRuehl"/>
          <w:color w:val="000000"/>
          <w:sz w:val="28"/>
          <w:szCs w:val="28"/>
          <w:rtl/>
        </w:rPr>
        <w:t> (6.</w:t>
      </w:r>
      <w:r w:rsidR="00377936">
        <w:rPr>
          <w:rFonts w:ascii="FrankRuehl" w:hAnsi="FrankRuehl" w:cs="FrankRuehl" w:hint="cs"/>
          <w:color w:val="000000"/>
          <w:sz w:val="28"/>
          <w:szCs w:val="28"/>
          <w:rtl/>
        </w:rPr>
        <w:t>0</w:t>
      </w:r>
      <w:r w:rsidR="00C02CBE" w:rsidRPr="006F0935">
        <w:rPr>
          <w:rFonts w:ascii="FrankRuehl" w:hAnsi="FrankRuehl" w:cs="FrankRuehl"/>
          <w:color w:val="000000"/>
          <w:sz w:val="28"/>
          <w:szCs w:val="28"/>
          <w:rtl/>
        </w:rPr>
        <w:t>2.17)</w:t>
      </w:r>
      <w:r w:rsidR="005403D9">
        <w:rPr>
          <w:rFonts w:ascii="FrankRuehl" w:hAnsi="FrankRuehl" w:cs="FrankRuehl" w:hint="cs"/>
          <w:color w:val="000000"/>
          <w:sz w:val="28"/>
          <w:szCs w:val="28"/>
          <w:rtl/>
        </w:rPr>
        <w:t>,</w:t>
      </w:r>
      <w:r w:rsidR="00C02CBE" w:rsidRPr="006F0935">
        <w:rPr>
          <w:rFonts w:ascii="FrankRuehl" w:hAnsi="FrankRuehl" w:cs="FrankRuehl"/>
          <w:color w:val="000000"/>
          <w:sz w:val="28"/>
          <w:szCs w:val="28"/>
          <w:rtl/>
        </w:rPr>
        <w:t xml:space="preserve"> הנאשם הורשע על פי הודאתו בעבירה של קבלת שוחד, עשרים עבירות של הפרת סודיות ובעבירה של מרמה והפרת אמונים, בגין </w:t>
      </w:r>
      <w:r w:rsidR="00C02CBE" w:rsidRPr="006F0935">
        <w:rPr>
          <w:rFonts w:ascii="FrankRuehl" w:hAnsi="FrankRuehl" w:cs="FrankRuehl"/>
          <w:color w:val="000000"/>
          <w:sz w:val="28"/>
          <w:szCs w:val="28"/>
          <w:u w:val="single"/>
          <w:rtl/>
        </w:rPr>
        <w:t>מעשים שביצע עת שירת כשוטר</w:t>
      </w:r>
      <w:r w:rsidR="00C02CBE" w:rsidRPr="006F0935">
        <w:rPr>
          <w:rFonts w:ascii="FrankRuehl" w:hAnsi="FrankRuehl" w:cs="FrankRuehl"/>
          <w:color w:val="000000"/>
          <w:sz w:val="28"/>
          <w:szCs w:val="28"/>
          <w:rtl/>
        </w:rPr>
        <w:t xml:space="preserve"> בתפקיד מוקדן. על פי המתואר, ניצל הנאשם את נגישותו למאגרי מידע ומסר פרטים אישיים על אודות 19 אזרחים בתמורה לקבלת סך של כ- 1,200 ₪. מתחם העונש ההולם נקבע בין</w:t>
      </w:r>
      <w:r w:rsidR="005403D9">
        <w:rPr>
          <w:rFonts w:ascii="FrankRuehl" w:hAnsi="FrankRuehl" w:cs="FrankRuehl" w:hint="cs"/>
          <w:color w:val="000000"/>
          <w:sz w:val="28"/>
          <w:szCs w:val="28"/>
          <w:rtl/>
        </w:rPr>
        <w:t xml:space="preserve"> 24-10</w:t>
      </w:r>
      <w:r w:rsidR="00C02CBE" w:rsidRPr="006F0935">
        <w:rPr>
          <w:rFonts w:ascii="FrankRuehl" w:hAnsi="FrankRuehl" w:cs="FrankRuehl"/>
          <w:color w:val="000000"/>
          <w:sz w:val="28"/>
          <w:szCs w:val="28"/>
          <w:rtl/>
        </w:rPr>
        <w:t xml:space="preserve"> חודשי מאסר. עונשו של הנאשם הועמד על 8 חודשי מאסר בפועל, מאסר על תנאי וקנס בסך של 7,500 ₪.</w:t>
      </w:r>
    </w:p>
    <w:p w:rsidR="008C5CA8" w:rsidRPr="008C5CA8" w:rsidRDefault="008C5CA8" w:rsidP="008C5CA8">
      <w:pPr>
        <w:pStyle w:val="af"/>
        <w:spacing w:after="160" w:line="360" w:lineRule="auto"/>
        <w:jc w:val="both"/>
        <w:rPr>
          <w:rFonts w:ascii="FrankRuehl" w:hAnsi="FrankRuehl" w:cs="FrankRuehl"/>
          <w:color w:val="000000"/>
          <w:sz w:val="28"/>
          <w:szCs w:val="28"/>
          <w:rtl/>
        </w:rPr>
      </w:pPr>
    </w:p>
    <w:p w:rsidR="006F0935" w:rsidRPr="008C5CA8" w:rsidRDefault="005403D9" w:rsidP="008C5CA8">
      <w:pPr>
        <w:spacing w:after="160" w:line="360" w:lineRule="auto"/>
        <w:jc w:val="both"/>
        <w:rPr>
          <w:rFonts w:ascii="FrankRuehl" w:hAnsi="FrankRuehl" w:cs="FrankRuehl"/>
          <w:color w:val="000000"/>
          <w:sz w:val="28"/>
          <w:szCs w:val="28"/>
          <w:rtl/>
        </w:rPr>
      </w:pPr>
      <w:r>
        <w:rPr>
          <w:rFonts w:ascii="FrankRuehl" w:hAnsi="FrankRuehl" w:cs="FrankRuehl" w:hint="cs"/>
          <w:color w:val="000000"/>
          <w:sz w:val="28"/>
          <w:szCs w:val="28"/>
          <w:rtl/>
        </w:rPr>
        <w:t>79.</w:t>
      </w:r>
      <w:r>
        <w:rPr>
          <w:rFonts w:ascii="FrankRuehl" w:hAnsi="FrankRuehl" w:cs="FrankRuehl" w:hint="cs"/>
          <w:color w:val="000000"/>
          <w:sz w:val="28"/>
          <w:szCs w:val="28"/>
          <w:rtl/>
        </w:rPr>
        <w:tab/>
      </w:r>
      <w:r w:rsidR="00377936" w:rsidRPr="008C5CA8">
        <w:rPr>
          <w:rFonts w:ascii="FrankRuehl" w:hAnsi="FrankRuehl" w:cs="FrankRuehl" w:hint="cs"/>
          <w:color w:val="000000"/>
          <w:sz w:val="28"/>
          <w:szCs w:val="28"/>
          <w:rtl/>
        </w:rPr>
        <w:t>גזרי דין שאינם עוסקים בשוטרים, ומדובר בהם על שוחד מיני ניתן למצוא ב:</w:t>
      </w:r>
    </w:p>
    <w:p w:rsidR="00052819" w:rsidRPr="008C5CA8" w:rsidRDefault="00052819" w:rsidP="008C5CA8">
      <w:pPr>
        <w:pStyle w:val="af"/>
        <w:numPr>
          <w:ilvl w:val="0"/>
          <w:numId w:val="6"/>
        </w:numPr>
        <w:spacing w:after="160" w:line="360" w:lineRule="auto"/>
        <w:jc w:val="both"/>
        <w:rPr>
          <w:rFonts w:ascii="FrankRuehl" w:hAnsi="FrankRuehl" w:cs="FrankRuehl"/>
          <w:color w:val="000000"/>
          <w:sz w:val="28"/>
          <w:szCs w:val="28"/>
          <w:rtl/>
        </w:rPr>
      </w:pPr>
      <w:r w:rsidRPr="008C5CA8">
        <w:rPr>
          <w:rFonts w:ascii="FrankRuehl" w:hAnsi="FrankRuehl" w:cs="FrankRuehl" w:hint="cs"/>
          <w:color w:val="000000"/>
          <w:sz w:val="28"/>
          <w:szCs w:val="28"/>
          <w:rtl/>
        </w:rPr>
        <w:lastRenderedPageBreak/>
        <w:t xml:space="preserve">בע"פ 766/07 </w:t>
      </w:r>
      <w:r w:rsidRPr="008C5CA8">
        <w:rPr>
          <w:rFonts w:ascii="FrankRuehl" w:hAnsi="FrankRuehl" w:cs="FrankRuehl" w:hint="cs"/>
          <w:b/>
          <w:bCs/>
          <w:color w:val="000000"/>
          <w:sz w:val="28"/>
          <w:szCs w:val="28"/>
          <w:rtl/>
        </w:rPr>
        <w:t>כהן נ' מדינת ישראל</w:t>
      </w:r>
      <w:r w:rsidRPr="008C5CA8">
        <w:rPr>
          <w:rFonts w:ascii="FrankRuehl" w:hAnsi="FrankRuehl" w:cs="FrankRuehl" w:hint="cs"/>
          <w:color w:val="000000"/>
          <w:sz w:val="28"/>
          <w:szCs w:val="28"/>
          <w:rtl/>
        </w:rPr>
        <w:t xml:space="preserve"> (19.11.07)</w:t>
      </w:r>
      <w:r w:rsidR="008C5CA8" w:rsidRPr="008C5CA8">
        <w:rPr>
          <w:rFonts w:ascii="FrankRuehl" w:hAnsi="FrankRuehl" w:cs="FrankRuehl" w:hint="cs"/>
          <w:color w:val="000000"/>
          <w:sz w:val="28"/>
          <w:szCs w:val="28"/>
          <w:rtl/>
        </w:rPr>
        <w:t>, אליו הפנתה המאשימה,</w:t>
      </w:r>
      <w:r w:rsidRPr="008C5CA8">
        <w:rPr>
          <w:rFonts w:ascii="FrankRuehl" w:hAnsi="FrankRuehl" w:cs="FrankRuehl" w:hint="cs"/>
          <w:color w:val="000000"/>
          <w:sz w:val="28"/>
          <w:szCs w:val="28"/>
          <w:rtl/>
        </w:rPr>
        <w:t xml:space="preserve"> נידון עניינם של שני נאשמים, האחד </w:t>
      </w:r>
      <w:r w:rsidRPr="008C5CA8">
        <w:rPr>
          <w:rFonts w:ascii="FrankRuehl" w:hAnsi="FrankRuehl" w:cs="FrankRuehl"/>
          <w:color w:val="000000"/>
          <w:sz w:val="28"/>
          <w:szCs w:val="28"/>
          <w:rtl/>
        </w:rPr>
        <w:t>עבד בחברת האבטחה "מיקוד" כאחראי משמרת של צוות מאבטחים בלשכ</w:t>
      </w:r>
      <w:r w:rsidRPr="008C5CA8">
        <w:rPr>
          <w:rFonts w:ascii="FrankRuehl" w:hAnsi="FrankRuehl" w:cs="FrankRuehl" w:hint="cs"/>
          <w:color w:val="000000"/>
          <w:sz w:val="28"/>
          <w:szCs w:val="28"/>
          <w:rtl/>
        </w:rPr>
        <w:t xml:space="preserve">ת האוכלוסין של משרד הפנים במזרח ירושלים, והאחר </w:t>
      </w:r>
      <w:r w:rsidRPr="008C5CA8">
        <w:rPr>
          <w:rFonts w:ascii="FrankRuehl" w:hAnsi="FrankRuehl" w:cs="FrankRuehl"/>
          <w:color w:val="000000"/>
          <w:sz w:val="28"/>
          <w:szCs w:val="28"/>
          <w:rtl/>
        </w:rPr>
        <w:t xml:space="preserve">היה בעל משרד הממוקם סמוך ללשכה, אשר הציע שירותי הדפסה וצילומי דרכון עבור ציבור הפונים. </w:t>
      </w:r>
      <w:r w:rsidRPr="008C5CA8">
        <w:rPr>
          <w:rFonts w:ascii="FrankRuehl" w:hAnsi="FrankRuehl" w:cs="FrankRuehl" w:hint="cs"/>
          <w:color w:val="000000"/>
          <w:sz w:val="28"/>
          <w:szCs w:val="28"/>
          <w:rtl/>
        </w:rPr>
        <w:t>שני אלו ו</w:t>
      </w:r>
      <w:r w:rsidRPr="008C5CA8">
        <w:rPr>
          <w:rFonts w:ascii="FrankRuehl" w:hAnsi="FrankRuehl" w:cs="FrankRuehl"/>
          <w:color w:val="000000"/>
          <w:sz w:val="28"/>
          <w:szCs w:val="28"/>
          <w:rtl/>
        </w:rPr>
        <w:t xml:space="preserve">מאבטח נוסף קשרו קשר לפיו יכניסו פונים ללשכת מנהל האוכלוסין ללא תור וזאת תמורת תשלום של כ-500 ש"ח לאדם. </w:t>
      </w:r>
      <w:r w:rsidRPr="008C5CA8">
        <w:rPr>
          <w:rFonts w:ascii="FrankRuehl" w:hAnsi="FrankRuehl" w:cs="FrankRuehl" w:hint="cs"/>
          <w:color w:val="000000"/>
          <w:sz w:val="28"/>
          <w:szCs w:val="28"/>
          <w:rtl/>
        </w:rPr>
        <w:t xml:space="preserve">מדובר היה בתקופה בה התור היה של מאות אנשים ואנשים אף ישנו ברחוב סמוך ללשכה על מנת לזכות בקדמת התור. בדרך זו שלשל כל אחד מהנאשמים </w:t>
      </w:r>
      <w:r w:rsidRPr="008C5CA8">
        <w:rPr>
          <w:rFonts w:ascii="FrankRuehl" w:hAnsi="FrankRuehl" w:cs="FrankRuehl"/>
          <w:color w:val="000000"/>
          <w:sz w:val="28"/>
          <w:szCs w:val="28"/>
          <w:rtl/>
        </w:rPr>
        <w:t>לכיסו</w:t>
      </w:r>
      <w:r w:rsidRPr="008C5CA8">
        <w:rPr>
          <w:rFonts w:ascii="FrankRuehl" w:hAnsi="FrankRuehl" w:cs="FrankRuehl" w:hint="cs"/>
          <w:color w:val="000000"/>
          <w:sz w:val="28"/>
          <w:szCs w:val="28"/>
          <w:rtl/>
        </w:rPr>
        <w:t xml:space="preserve"> </w:t>
      </w:r>
      <w:r w:rsidRPr="008C5CA8">
        <w:rPr>
          <w:rFonts w:ascii="FrankRuehl" w:hAnsi="FrankRuehl" w:cs="FrankRuehl"/>
          <w:color w:val="000000"/>
          <w:sz w:val="28"/>
          <w:szCs w:val="28"/>
          <w:rtl/>
        </w:rPr>
        <w:t xml:space="preserve">סך </w:t>
      </w:r>
      <w:r w:rsidRPr="008C5CA8">
        <w:rPr>
          <w:rFonts w:ascii="FrankRuehl" w:hAnsi="FrankRuehl" w:cs="FrankRuehl" w:hint="cs"/>
          <w:color w:val="000000"/>
          <w:sz w:val="28"/>
          <w:szCs w:val="28"/>
          <w:rtl/>
        </w:rPr>
        <w:t>שלא פחות מ-</w:t>
      </w:r>
      <w:r w:rsidRPr="008C5CA8">
        <w:rPr>
          <w:rFonts w:ascii="FrankRuehl" w:hAnsi="FrankRuehl" w:cs="FrankRuehl"/>
          <w:color w:val="000000"/>
          <w:sz w:val="28"/>
          <w:szCs w:val="28"/>
          <w:rtl/>
        </w:rPr>
        <w:t xml:space="preserve">15,000 ש"ח. </w:t>
      </w:r>
      <w:r w:rsidRPr="008C5CA8">
        <w:rPr>
          <w:rFonts w:ascii="FrankRuehl" w:hAnsi="FrankRuehl" w:cs="FrankRuehl" w:hint="cs"/>
          <w:color w:val="000000"/>
          <w:sz w:val="28"/>
          <w:szCs w:val="28"/>
          <w:rtl/>
        </w:rPr>
        <w:t>בהמשך, הם סיכמו עם סוכנת משטרה ש</w:t>
      </w:r>
      <w:r w:rsidRPr="008C5CA8">
        <w:rPr>
          <w:rFonts w:ascii="FrankRuehl" w:hAnsi="FrankRuehl" w:cs="FrankRuehl"/>
          <w:color w:val="000000"/>
          <w:sz w:val="28"/>
          <w:szCs w:val="28"/>
          <w:rtl/>
        </w:rPr>
        <w:t>הציגה עצמה כאחת מהממתינים בתור ללשכה שלא הצליחו להיכנס</w:t>
      </w:r>
      <w:r w:rsidRPr="008C5CA8">
        <w:rPr>
          <w:rFonts w:ascii="FrankRuehl" w:hAnsi="FrankRuehl" w:cs="FrankRuehl" w:hint="cs"/>
          <w:color w:val="000000"/>
          <w:sz w:val="28"/>
          <w:szCs w:val="28"/>
          <w:rtl/>
        </w:rPr>
        <w:t xml:space="preserve">, כי היא תקיים יחסי מין עם אחד הנאשמים. בכניסה לדירה בה היה אמור להינתן המתת הוא נעצר. אותו נאשם, ניצל </w:t>
      </w:r>
      <w:r w:rsidRPr="008C5CA8">
        <w:rPr>
          <w:rFonts w:ascii="FrankRuehl" w:hAnsi="FrankRuehl" w:cs="FrankRuehl"/>
          <w:color w:val="000000"/>
          <w:sz w:val="28"/>
          <w:szCs w:val="28"/>
          <w:rtl/>
        </w:rPr>
        <w:t>במספר רב נוסף של מקרים</w:t>
      </w:r>
      <w:r w:rsidRPr="008C5CA8">
        <w:rPr>
          <w:rFonts w:ascii="FrankRuehl" w:hAnsi="FrankRuehl" w:cs="FrankRuehl" w:hint="cs"/>
          <w:color w:val="000000"/>
          <w:sz w:val="28"/>
          <w:szCs w:val="28"/>
          <w:rtl/>
        </w:rPr>
        <w:t xml:space="preserve"> </w:t>
      </w:r>
      <w:r w:rsidRPr="008C5CA8">
        <w:rPr>
          <w:rFonts w:ascii="FrankRuehl" w:hAnsi="FrankRuehl" w:cs="FrankRuehl"/>
          <w:color w:val="000000"/>
          <w:sz w:val="28"/>
          <w:szCs w:val="28"/>
          <w:rtl/>
        </w:rPr>
        <w:t>את מעמדו על מנת להכניס ללשכה אנשים ללא תור וזאת תמורת תשלום כספי, טובות הנאה או לבקשת</w:t>
      </w:r>
      <w:r w:rsidRPr="008C5CA8">
        <w:rPr>
          <w:rFonts w:ascii="FrankRuehl" w:hAnsi="FrankRuehl" w:cs="FrankRuehl" w:hint="cs"/>
          <w:color w:val="000000"/>
          <w:sz w:val="28"/>
          <w:szCs w:val="28"/>
          <w:rtl/>
        </w:rPr>
        <w:t xml:space="preserve"> ח</w:t>
      </w:r>
      <w:r w:rsidRPr="008C5CA8">
        <w:rPr>
          <w:rFonts w:ascii="FrankRuehl" w:hAnsi="FrankRuehl" w:cs="FrankRuehl"/>
          <w:color w:val="000000"/>
          <w:sz w:val="28"/>
          <w:szCs w:val="28"/>
          <w:rtl/>
        </w:rPr>
        <w:t xml:space="preserve">ברים. במקרים אחרים, </w:t>
      </w:r>
      <w:r w:rsidRPr="008C5CA8">
        <w:rPr>
          <w:rFonts w:ascii="FrankRuehl" w:hAnsi="FrankRuehl" w:cs="FrankRuehl" w:hint="cs"/>
          <w:color w:val="000000"/>
          <w:sz w:val="28"/>
          <w:szCs w:val="28"/>
          <w:rtl/>
        </w:rPr>
        <w:t xml:space="preserve">הוא </w:t>
      </w:r>
      <w:r w:rsidRPr="008C5CA8">
        <w:rPr>
          <w:rFonts w:ascii="FrankRuehl" w:hAnsi="FrankRuehl" w:cs="FrankRuehl"/>
          <w:color w:val="000000"/>
          <w:sz w:val="28"/>
          <w:szCs w:val="28"/>
          <w:rtl/>
        </w:rPr>
        <w:t xml:space="preserve">הכניס נשים שהמתינו בטרם הגיע תורן, דרש מהן בתמורה את מספר הטלפון שלהן והטריד אותן אחר כך בטלפון. במקרים נוספים </w:t>
      </w:r>
      <w:r w:rsidRPr="008C5CA8">
        <w:rPr>
          <w:rFonts w:ascii="FrankRuehl" w:hAnsi="FrankRuehl" w:cs="FrankRuehl" w:hint="cs"/>
          <w:color w:val="000000"/>
          <w:sz w:val="28"/>
          <w:szCs w:val="28"/>
          <w:rtl/>
        </w:rPr>
        <w:t xml:space="preserve">הוא </w:t>
      </w:r>
      <w:r w:rsidRPr="008C5CA8">
        <w:rPr>
          <w:rFonts w:ascii="FrankRuehl" w:hAnsi="FrankRuehl" w:cs="FrankRuehl"/>
          <w:color w:val="000000"/>
          <w:sz w:val="28"/>
          <w:szCs w:val="28"/>
          <w:rtl/>
        </w:rPr>
        <w:t xml:space="preserve">מנע כניסת נשים ממתינות שלא נענו לחיזוריו. </w:t>
      </w:r>
      <w:r w:rsidRPr="008C5CA8">
        <w:rPr>
          <w:rFonts w:ascii="FrankRuehl" w:hAnsi="FrankRuehl" w:cs="FrankRuehl" w:hint="cs"/>
          <w:color w:val="000000"/>
          <w:sz w:val="28"/>
          <w:szCs w:val="28"/>
          <w:rtl/>
        </w:rPr>
        <w:t xml:space="preserve">על נאשם זה השית בית המשפט המחוזי </w:t>
      </w:r>
      <w:r w:rsidRPr="008C5CA8">
        <w:rPr>
          <w:rFonts w:ascii="FrankRuehl" w:hAnsi="FrankRuehl" w:cs="FrankRuehl"/>
          <w:color w:val="000000"/>
          <w:sz w:val="28"/>
          <w:szCs w:val="28"/>
          <w:rtl/>
        </w:rPr>
        <w:t>6 שנ</w:t>
      </w:r>
      <w:r w:rsidRPr="008C5CA8">
        <w:rPr>
          <w:rFonts w:ascii="FrankRuehl" w:hAnsi="FrankRuehl" w:cs="FrankRuehl" w:hint="cs"/>
          <w:color w:val="000000"/>
          <w:sz w:val="28"/>
          <w:szCs w:val="28"/>
          <w:rtl/>
        </w:rPr>
        <w:t xml:space="preserve">ות מאסר בפועל ועל שותפו 4 שנות מאסר. הערעור נדחה. </w:t>
      </w:r>
    </w:p>
    <w:p w:rsidR="00052819" w:rsidRPr="008C5CA8" w:rsidRDefault="00052819" w:rsidP="008C5CA8">
      <w:pPr>
        <w:pStyle w:val="af"/>
        <w:numPr>
          <w:ilvl w:val="0"/>
          <w:numId w:val="6"/>
        </w:numPr>
        <w:spacing w:after="160" w:line="360" w:lineRule="auto"/>
        <w:jc w:val="both"/>
        <w:rPr>
          <w:rFonts w:ascii="FrankRuehl" w:hAnsi="FrankRuehl" w:cs="FrankRuehl"/>
          <w:color w:val="000000"/>
          <w:sz w:val="28"/>
          <w:szCs w:val="28"/>
          <w:rtl/>
        </w:rPr>
      </w:pPr>
      <w:r w:rsidRPr="008C5CA8">
        <w:rPr>
          <w:rFonts w:ascii="FrankRuehl" w:hAnsi="FrankRuehl" w:cs="FrankRuehl" w:hint="cs"/>
          <w:color w:val="000000"/>
          <w:sz w:val="28"/>
          <w:szCs w:val="28"/>
          <w:rtl/>
        </w:rPr>
        <w:t xml:space="preserve">בע"פ (מחוזי-חי') 590/05 </w:t>
      </w:r>
      <w:r w:rsidRPr="008C5CA8">
        <w:rPr>
          <w:rFonts w:ascii="FrankRuehl" w:hAnsi="FrankRuehl" w:cs="FrankRuehl" w:hint="cs"/>
          <w:b/>
          <w:bCs/>
          <w:color w:val="000000"/>
          <w:sz w:val="28"/>
          <w:szCs w:val="28"/>
          <w:rtl/>
        </w:rPr>
        <w:t>סלאח נ' מדינת ישראל</w:t>
      </w:r>
      <w:r w:rsidRPr="008C5CA8">
        <w:rPr>
          <w:rFonts w:ascii="FrankRuehl" w:hAnsi="FrankRuehl" w:cs="FrankRuehl" w:hint="cs"/>
          <w:color w:val="000000"/>
          <w:sz w:val="28"/>
          <w:szCs w:val="28"/>
          <w:rtl/>
        </w:rPr>
        <w:t xml:space="preserve"> (16.02.06</w:t>
      </w:r>
      <w:r w:rsidR="008C5CA8" w:rsidRPr="008C5CA8">
        <w:rPr>
          <w:rFonts w:ascii="FrankRuehl" w:hAnsi="FrankRuehl" w:cs="FrankRuehl" w:hint="cs"/>
          <w:color w:val="000000"/>
          <w:sz w:val="28"/>
          <w:szCs w:val="28"/>
          <w:rtl/>
        </w:rPr>
        <w:t xml:space="preserve">), אליו הפנתה המאשימה, </w:t>
      </w:r>
      <w:r w:rsidRPr="008C5CA8">
        <w:rPr>
          <w:rFonts w:ascii="FrankRuehl" w:hAnsi="FrankRuehl" w:cs="FrankRuehl" w:hint="cs"/>
          <w:color w:val="000000"/>
          <w:sz w:val="28"/>
          <w:szCs w:val="28"/>
          <w:rtl/>
        </w:rPr>
        <w:t>נידון נאשם, עובד ציבור, שהורשע בעבירות של לקיחת שוחד מיני, שימוש לרעה בכוח המשרה ומעשים מגונים ל-20 חודשי מאסר בפועל. הנאשם באותו מקרה עבד במס הכנסה כראש ענף ניהול ספרים וביצע במתלוננת, מנהלת גן בו ערך ביקורת ניהול ספרים, מעשה מגונה לאחר ששכנע את המתלוננת כי סטה מהשורה למענה ושכעת עליה לגמול לו</w:t>
      </w:r>
      <w:r w:rsidR="0086132F">
        <w:rPr>
          <w:rFonts w:ascii="FrankRuehl" w:hAnsi="FrankRuehl" w:cs="FrankRuehl" w:hint="cs"/>
          <w:color w:val="000000"/>
          <w:sz w:val="28"/>
          <w:szCs w:val="28"/>
          <w:rtl/>
        </w:rPr>
        <w:t>.</w:t>
      </w:r>
    </w:p>
    <w:p w:rsidR="00C02CBE" w:rsidRPr="008C5CA8" w:rsidRDefault="00C02CBE" w:rsidP="008C5CA8">
      <w:pPr>
        <w:pStyle w:val="af"/>
        <w:spacing w:after="160" w:line="360" w:lineRule="auto"/>
        <w:jc w:val="both"/>
        <w:rPr>
          <w:rFonts w:ascii="FrankRuehl" w:hAnsi="FrankRuehl" w:cs="FrankRuehl"/>
          <w:color w:val="000000"/>
          <w:sz w:val="28"/>
          <w:szCs w:val="28"/>
          <w:rtl/>
        </w:rPr>
      </w:pPr>
    </w:p>
    <w:p w:rsidR="00377936" w:rsidRPr="008C5CA8" w:rsidRDefault="0086132F" w:rsidP="008C5CA8">
      <w:pPr>
        <w:spacing w:after="160" w:line="360" w:lineRule="auto"/>
        <w:jc w:val="both"/>
        <w:rPr>
          <w:rFonts w:ascii="FrankRuehl" w:hAnsi="FrankRuehl" w:cs="FrankRuehl"/>
          <w:color w:val="000000"/>
          <w:sz w:val="28"/>
          <w:szCs w:val="28"/>
          <w:rtl/>
        </w:rPr>
      </w:pPr>
      <w:r>
        <w:rPr>
          <w:rFonts w:ascii="FrankRuehl" w:hAnsi="FrankRuehl" w:cs="FrankRuehl" w:hint="cs"/>
          <w:color w:val="000000"/>
          <w:sz w:val="28"/>
          <w:szCs w:val="28"/>
          <w:rtl/>
        </w:rPr>
        <w:t>80.</w:t>
      </w:r>
      <w:r>
        <w:rPr>
          <w:rFonts w:ascii="FrankRuehl" w:hAnsi="FrankRuehl" w:cs="FrankRuehl" w:hint="cs"/>
          <w:color w:val="000000"/>
          <w:sz w:val="28"/>
          <w:szCs w:val="28"/>
          <w:rtl/>
        </w:rPr>
        <w:tab/>
      </w:r>
      <w:r w:rsidR="00377936" w:rsidRPr="008C5CA8">
        <w:rPr>
          <w:rFonts w:ascii="FrankRuehl" w:hAnsi="FrankRuehl" w:cs="FrankRuehl" w:hint="cs"/>
          <w:color w:val="000000"/>
          <w:sz w:val="28"/>
          <w:szCs w:val="28"/>
          <w:rtl/>
        </w:rPr>
        <w:t>גזרי דין נוספים שעניינם בשוחד כספי:</w:t>
      </w:r>
    </w:p>
    <w:p w:rsidR="00052819" w:rsidRPr="008C5CA8" w:rsidRDefault="00052819" w:rsidP="008C5CA8">
      <w:pPr>
        <w:pStyle w:val="af"/>
        <w:numPr>
          <w:ilvl w:val="0"/>
          <w:numId w:val="6"/>
        </w:numPr>
        <w:spacing w:after="160" w:line="360" w:lineRule="auto"/>
        <w:jc w:val="both"/>
        <w:rPr>
          <w:rFonts w:ascii="FrankRuehl" w:eastAsia="Calibri" w:hAnsi="FrankRuehl" w:cs="FrankRuehl"/>
          <w:sz w:val="28"/>
          <w:szCs w:val="28"/>
          <w:rtl/>
        </w:rPr>
      </w:pPr>
      <w:r w:rsidRPr="008C5CA8">
        <w:rPr>
          <w:rFonts w:ascii="FrankRuehl" w:eastAsia="Calibri" w:hAnsi="FrankRuehl" w:cs="FrankRuehl" w:hint="cs"/>
          <w:sz w:val="28"/>
          <w:szCs w:val="28"/>
          <w:rtl/>
        </w:rPr>
        <w:t xml:space="preserve">בת"פ (מחוזי-ת"א) 38121-03-21 </w:t>
      </w:r>
      <w:r w:rsidRPr="008C5CA8">
        <w:rPr>
          <w:rFonts w:ascii="FrankRuehl" w:eastAsia="Calibri" w:hAnsi="FrankRuehl" w:cs="FrankRuehl" w:hint="cs"/>
          <w:b/>
          <w:bCs/>
          <w:sz w:val="28"/>
          <w:szCs w:val="28"/>
          <w:rtl/>
        </w:rPr>
        <w:t>מדינת ישראל נ' פורמן</w:t>
      </w:r>
      <w:r w:rsidRPr="008C5CA8">
        <w:rPr>
          <w:rFonts w:ascii="FrankRuehl" w:eastAsia="Calibri" w:hAnsi="FrankRuehl" w:cs="FrankRuehl" w:hint="cs"/>
          <w:sz w:val="28"/>
          <w:szCs w:val="28"/>
          <w:rtl/>
        </w:rPr>
        <w:t xml:space="preserve"> (31.10.22), אליו הפנו ב"כ הנאשם, נידון עניינו של </w:t>
      </w:r>
      <w:r w:rsidRPr="008C5CA8">
        <w:rPr>
          <w:rFonts w:ascii="FrankRuehl" w:eastAsia="Calibri" w:hAnsi="FrankRuehl" w:cs="FrankRuehl"/>
          <w:sz w:val="28"/>
          <w:szCs w:val="28"/>
          <w:rtl/>
        </w:rPr>
        <w:t>נאשם</w:t>
      </w:r>
      <w:r w:rsidRPr="008C5CA8">
        <w:rPr>
          <w:rFonts w:ascii="FrankRuehl" w:eastAsia="Calibri" w:hAnsi="FrankRuehl" w:cs="FrankRuehl" w:hint="cs"/>
          <w:sz w:val="28"/>
          <w:szCs w:val="28"/>
          <w:rtl/>
        </w:rPr>
        <w:t xml:space="preserve"> ש</w:t>
      </w:r>
      <w:r w:rsidRPr="008C5CA8">
        <w:rPr>
          <w:rFonts w:ascii="FrankRuehl" w:eastAsia="Calibri" w:hAnsi="FrankRuehl" w:cs="FrankRuehl"/>
          <w:sz w:val="28"/>
          <w:szCs w:val="28"/>
          <w:rtl/>
        </w:rPr>
        <w:t xml:space="preserve">היה חבר אגד ושימש </w:t>
      </w:r>
      <w:r w:rsidRPr="008C5CA8">
        <w:rPr>
          <w:rFonts w:ascii="FrankRuehl" w:eastAsia="Calibri" w:hAnsi="FrankRuehl" w:cs="FrankRuehl" w:hint="cs"/>
          <w:sz w:val="28"/>
          <w:szCs w:val="28"/>
          <w:rtl/>
        </w:rPr>
        <w:t xml:space="preserve">בה </w:t>
      </w:r>
      <w:r w:rsidRPr="008C5CA8">
        <w:rPr>
          <w:rFonts w:ascii="FrankRuehl" w:eastAsia="Calibri" w:hAnsi="FrankRuehl" w:cs="FrankRuehl"/>
          <w:sz w:val="28"/>
          <w:szCs w:val="28"/>
          <w:rtl/>
        </w:rPr>
        <w:t>בתפקידים שונים, בין היתר, כמנהל אגף המשק</w:t>
      </w:r>
      <w:r w:rsidRPr="008C5CA8">
        <w:rPr>
          <w:rFonts w:ascii="FrankRuehl" w:eastAsia="Calibri" w:hAnsi="FrankRuehl" w:cs="FrankRuehl" w:hint="cs"/>
          <w:sz w:val="28"/>
          <w:szCs w:val="28"/>
          <w:rtl/>
        </w:rPr>
        <w:t>, ו</w:t>
      </w:r>
      <w:r w:rsidRPr="008C5CA8">
        <w:rPr>
          <w:rFonts w:ascii="FrankRuehl" w:eastAsia="Calibri" w:hAnsi="FrankRuehl" w:cs="FrankRuehl"/>
          <w:sz w:val="28"/>
          <w:szCs w:val="28"/>
          <w:rtl/>
        </w:rPr>
        <w:t xml:space="preserve">היה אחראי על רכש אוטובוסים. </w:t>
      </w:r>
      <w:r w:rsidRPr="008C5CA8">
        <w:rPr>
          <w:rFonts w:ascii="FrankRuehl" w:eastAsia="Calibri" w:hAnsi="FrankRuehl" w:cs="FrankRuehl" w:hint="cs"/>
          <w:sz w:val="28"/>
          <w:szCs w:val="28"/>
          <w:rtl/>
        </w:rPr>
        <w:t xml:space="preserve">הנאשם נהנה לבקשת חברה שהייתה בסכסוך משפטי עם אגד, לפעול </w:t>
      </w:r>
      <w:r w:rsidRPr="008C5CA8">
        <w:rPr>
          <w:rFonts w:ascii="FrankRuehl" w:eastAsia="Calibri" w:hAnsi="FrankRuehl" w:cs="FrankRuehl"/>
          <w:sz w:val="28"/>
          <w:szCs w:val="28"/>
          <w:rtl/>
        </w:rPr>
        <w:t xml:space="preserve">מטעם אגד </w:t>
      </w:r>
      <w:r w:rsidRPr="008C5CA8">
        <w:rPr>
          <w:rFonts w:ascii="FrankRuehl" w:eastAsia="Calibri" w:hAnsi="FrankRuehl" w:cs="FrankRuehl" w:hint="cs"/>
          <w:sz w:val="28"/>
          <w:szCs w:val="28"/>
          <w:rtl/>
        </w:rPr>
        <w:t xml:space="preserve">על מנת לקדם </w:t>
      </w:r>
      <w:r w:rsidRPr="008C5CA8">
        <w:rPr>
          <w:rFonts w:ascii="FrankRuehl" w:eastAsia="Calibri" w:hAnsi="FrankRuehl" w:cs="FrankRuehl"/>
          <w:sz w:val="28"/>
          <w:szCs w:val="28"/>
          <w:rtl/>
        </w:rPr>
        <w:t xml:space="preserve">את פתרון המחלוקת ואת המשך </w:t>
      </w:r>
      <w:r w:rsidRPr="008C5CA8">
        <w:rPr>
          <w:rFonts w:ascii="FrankRuehl" w:eastAsia="Calibri" w:hAnsi="FrankRuehl" w:cs="FrankRuehl"/>
          <w:sz w:val="28"/>
          <w:szCs w:val="28"/>
          <w:rtl/>
        </w:rPr>
        <w:lastRenderedPageBreak/>
        <w:t>ההתקשרות העסקית בין אגד ל</w:t>
      </w:r>
      <w:r w:rsidRPr="008C5CA8">
        <w:rPr>
          <w:rFonts w:ascii="FrankRuehl" w:eastAsia="Calibri" w:hAnsi="FrankRuehl" w:cs="FrankRuehl" w:hint="cs"/>
          <w:sz w:val="28"/>
          <w:szCs w:val="28"/>
          <w:rtl/>
        </w:rPr>
        <w:t xml:space="preserve">אותה חברה, בתמורה לשוחד בסך של </w:t>
      </w:r>
      <w:r w:rsidRPr="008C5CA8">
        <w:rPr>
          <w:rFonts w:ascii="FrankRuehl" w:eastAsia="Calibri" w:hAnsi="FrankRuehl" w:cs="FrankRuehl"/>
          <w:sz w:val="28"/>
          <w:szCs w:val="28"/>
          <w:rtl/>
        </w:rPr>
        <w:t>1,000,000 אירו.</w:t>
      </w:r>
      <w:r w:rsidRPr="008C5CA8">
        <w:rPr>
          <w:rFonts w:ascii="FrankRuehl" w:eastAsia="Calibri" w:hAnsi="FrankRuehl" w:cs="FrankRuehl" w:hint="cs"/>
          <w:sz w:val="28"/>
          <w:szCs w:val="28"/>
          <w:rtl/>
        </w:rPr>
        <w:t xml:space="preserve"> באותו עניין נקבע מתחם הנע מ-9 ועד 24 חודשי מאסר. </w:t>
      </w:r>
    </w:p>
    <w:p w:rsidR="00052819" w:rsidRPr="008C5CA8" w:rsidRDefault="00052819" w:rsidP="008C5CA8">
      <w:pPr>
        <w:pStyle w:val="af"/>
        <w:numPr>
          <w:ilvl w:val="0"/>
          <w:numId w:val="6"/>
        </w:numPr>
        <w:spacing w:after="160" w:line="360" w:lineRule="auto"/>
        <w:jc w:val="both"/>
        <w:rPr>
          <w:rFonts w:ascii="FrankRuehl" w:eastAsia="Calibri" w:hAnsi="FrankRuehl" w:cs="FrankRuehl"/>
          <w:sz w:val="28"/>
          <w:szCs w:val="28"/>
        </w:rPr>
      </w:pPr>
      <w:r w:rsidRPr="008C5CA8">
        <w:rPr>
          <w:rFonts w:ascii="FrankRuehl" w:eastAsia="Calibri" w:hAnsi="FrankRuehl" w:cs="FrankRuehl" w:hint="cs"/>
          <w:sz w:val="28"/>
          <w:szCs w:val="28"/>
          <w:rtl/>
        </w:rPr>
        <w:t>בת"פ (מחוזי-מרכז) 12012-03-19</w:t>
      </w:r>
      <w:r w:rsidRPr="008C5CA8">
        <w:rPr>
          <w:rFonts w:ascii="FrankRuehl" w:eastAsia="Calibri" w:hAnsi="FrankRuehl" w:cs="FrankRuehl"/>
          <w:sz w:val="28"/>
          <w:szCs w:val="28"/>
          <w:rtl/>
        </w:rPr>
        <w:t> </w:t>
      </w:r>
      <w:r w:rsidRPr="008C5CA8">
        <w:rPr>
          <w:rFonts w:ascii="FrankRuehl" w:eastAsia="Calibri" w:hAnsi="FrankRuehl" w:cs="FrankRuehl"/>
          <w:b/>
          <w:bCs/>
          <w:sz w:val="28"/>
          <w:szCs w:val="28"/>
          <w:rtl/>
        </w:rPr>
        <w:t>מדינת ישראל נ' ויז'ניצר</w:t>
      </w:r>
      <w:r w:rsidRPr="008C5CA8">
        <w:rPr>
          <w:rFonts w:ascii="FrankRuehl" w:eastAsia="Calibri" w:hAnsi="FrankRuehl" w:cs="FrankRuehl"/>
          <w:sz w:val="28"/>
          <w:szCs w:val="28"/>
          <w:rtl/>
        </w:rPr>
        <w:t> (20.</w:t>
      </w:r>
      <w:r w:rsidRPr="008C5CA8">
        <w:rPr>
          <w:rFonts w:ascii="FrankRuehl" w:eastAsia="Calibri" w:hAnsi="FrankRuehl" w:cs="FrankRuehl" w:hint="cs"/>
          <w:sz w:val="28"/>
          <w:szCs w:val="28"/>
          <w:rtl/>
        </w:rPr>
        <w:t>0</w:t>
      </w:r>
      <w:r w:rsidRPr="008C5CA8">
        <w:rPr>
          <w:rFonts w:ascii="FrankRuehl" w:eastAsia="Calibri" w:hAnsi="FrankRuehl" w:cs="FrankRuehl"/>
          <w:sz w:val="28"/>
          <w:szCs w:val="28"/>
          <w:rtl/>
        </w:rPr>
        <w:t>7.21)</w:t>
      </w:r>
      <w:r w:rsidRPr="008C5CA8">
        <w:rPr>
          <w:rFonts w:ascii="FrankRuehl" w:eastAsia="Calibri" w:hAnsi="FrankRuehl" w:cs="FrankRuehl" w:hint="cs"/>
          <w:sz w:val="28"/>
          <w:szCs w:val="28"/>
          <w:rtl/>
        </w:rPr>
        <w:t>, נידון עניינו של נאשם ש</w:t>
      </w:r>
      <w:r w:rsidRPr="008C5CA8">
        <w:rPr>
          <w:rFonts w:ascii="FrankRuehl" w:eastAsia="Calibri" w:hAnsi="FrankRuehl" w:cs="FrankRuehl"/>
          <w:sz w:val="28"/>
          <w:szCs w:val="28"/>
          <w:rtl/>
        </w:rPr>
        <w:t xml:space="preserve">הורשע בהתאם להודאתו במסגרת הסדר טיעון בעבירה של בקשת שוחד. הנאשם, ששימש כמנכ"ל חברת נתיבי ישראל, פנה באופן מרומז לבעלים של חברת פרויקטים משך כארבע שנים, תוך ציפייה כי יקבל תשלום עבור הפרויקטים המועברים לחברה. בהמשך הרמזים הפכו לדרישת שוחד, בסכום של 100,000 ₪ ו-5% אחוזים מתקבולי החברה, אולם דרישה זו לא נענתה. במסגרת ההסדר הסכימו הצדדים על עונש מאסר לתקופה של 24 חודשים, לצד ענישה נלווית וקנס בגובה 850,000 </w:t>
      </w:r>
      <w:r w:rsidR="0086132F">
        <w:rPr>
          <w:rFonts w:ascii="FrankRuehl" w:eastAsia="Calibri" w:hAnsi="FrankRuehl" w:cs="FrankRuehl" w:hint="cs"/>
          <w:sz w:val="28"/>
          <w:szCs w:val="28"/>
          <w:rtl/>
        </w:rPr>
        <w:t>₪</w:t>
      </w:r>
      <w:r w:rsidRPr="008C5CA8">
        <w:rPr>
          <w:rFonts w:ascii="FrankRuehl" w:eastAsia="Calibri" w:hAnsi="FrankRuehl" w:cs="FrankRuehl"/>
          <w:sz w:val="28"/>
          <w:szCs w:val="28"/>
          <w:rtl/>
        </w:rPr>
        <w:t>, ובית המשפט נתן לכך תוקף. עוד יצוין כי מדובר בתיק שהתנהל בחלוף זמן של 11 שנים מסיום האירועים.</w:t>
      </w:r>
    </w:p>
    <w:p w:rsidR="00052819" w:rsidRPr="008C5CA8" w:rsidRDefault="00052819" w:rsidP="008C5CA8">
      <w:pPr>
        <w:pStyle w:val="af"/>
        <w:numPr>
          <w:ilvl w:val="0"/>
          <w:numId w:val="6"/>
        </w:numPr>
        <w:spacing w:after="160" w:line="360" w:lineRule="auto"/>
        <w:jc w:val="both"/>
        <w:rPr>
          <w:rFonts w:ascii="FrankRuehl" w:eastAsia="Calibri" w:hAnsi="FrankRuehl" w:cs="FrankRuehl"/>
          <w:sz w:val="28"/>
          <w:szCs w:val="28"/>
          <w:rtl/>
        </w:rPr>
      </w:pPr>
      <w:r w:rsidRPr="008C5CA8">
        <w:rPr>
          <w:rFonts w:ascii="FrankRuehl" w:eastAsia="Calibri" w:hAnsi="FrankRuehl" w:cs="FrankRuehl" w:hint="cs"/>
          <w:sz w:val="28"/>
          <w:szCs w:val="28"/>
          <w:rtl/>
        </w:rPr>
        <w:t>בת"פ (מחוזי-ב"ש) 23287-10-20</w:t>
      </w:r>
      <w:r w:rsidRPr="008C5CA8">
        <w:rPr>
          <w:rFonts w:ascii="FrankRuehl" w:eastAsia="Calibri" w:hAnsi="FrankRuehl" w:cs="FrankRuehl"/>
          <w:sz w:val="28"/>
          <w:szCs w:val="28"/>
          <w:rtl/>
        </w:rPr>
        <w:t> </w:t>
      </w:r>
      <w:r w:rsidRPr="008C5CA8">
        <w:rPr>
          <w:rFonts w:ascii="FrankRuehl" w:eastAsia="Calibri" w:hAnsi="FrankRuehl" w:cs="FrankRuehl"/>
          <w:b/>
          <w:bCs/>
          <w:sz w:val="28"/>
          <w:szCs w:val="28"/>
          <w:rtl/>
        </w:rPr>
        <w:t>מדינת ישראל נ' אל פיניש</w:t>
      </w:r>
      <w:r w:rsidRPr="008C5CA8">
        <w:rPr>
          <w:rFonts w:ascii="FrankRuehl" w:eastAsia="Calibri" w:hAnsi="FrankRuehl" w:cs="FrankRuehl"/>
          <w:sz w:val="28"/>
          <w:szCs w:val="28"/>
          <w:rtl/>
        </w:rPr>
        <w:t> (28.12.21)</w:t>
      </w:r>
      <w:r w:rsidRPr="008C5CA8">
        <w:rPr>
          <w:rFonts w:ascii="FrankRuehl" w:eastAsia="Calibri" w:hAnsi="FrankRuehl" w:cs="FrankRuehl" w:hint="cs"/>
          <w:sz w:val="28"/>
          <w:szCs w:val="28"/>
          <w:rtl/>
        </w:rPr>
        <w:t xml:space="preserve">, נדון </w:t>
      </w:r>
      <w:r w:rsidRPr="008C5CA8">
        <w:rPr>
          <w:rFonts w:ascii="FrankRuehl" w:eastAsia="Calibri" w:hAnsi="FrankRuehl" w:cs="FrankRuehl"/>
          <w:sz w:val="28"/>
          <w:szCs w:val="28"/>
          <w:rtl/>
        </w:rPr>
        <w:t xml:space="preserve">נאשם, עובד במוקד משרד הבריאות בבאר שבע בתקופת הקורונה, </w:t>
      </w:r>
      <w:r w:rsidRPr="008C5CA8">
        <w:rPr>
          <w:rFonts w:ascii="FrankRuehl" w:eastAsia="Calibri" w:hAnsi="FrankRuehl" w:cs="FrankRuehl" w:hint="cs"/>
          <w:sz w:val="28"/>
          <w:szCs w:val="28"/>
          <w:rtl/>
        </w:rPr>
        <w:t>ש</w:t>
      </w:r>
      <w:r w:rsidRPr="008C5CA8">
        <w:rPr>
          <w:rFonts w:ascii="FrankRuehl" w:eastAsia="Calibri" w:hAnsi="FrankRuehl" w:cs="FrankRuehl"/>
          <w:sz w:val="28"/>
          <w:szCs w:val="28"/>
          <w:rtl/>
        </w:rPr>
        <w:t>הורשע על פי הודאתו במסגרת הסדר טיעון, בשתי עבירות של לקיחת שוחד ושלוש עבירות של בקשת שוחד, בכך שדרש תשלום שוחד על מנת לפטור אנשים מבידוד. הנאשם קיבל סכום של 850 ₪, ובקש</w:t>
      </w:r>
      <w:r w:rsidRPr="008C5CA8">
        <w:rPr>
          <w:rFonts w:ascii="FrankRuehl" w:eastAsia="Calibri" w:hAnsi="FrankRuehl" w:cs="FrankRuehl" w:hint="cs"/>
          <w:sz w:val="28"/>
          <w:szCs w:val="28"/>
          <w:rtl/>
        </w:rPr>
        <w:t>ו</w:t>
      </w:r>
      <w:r w:rsidRPr="008C5CA8">
        <w:rPr>
          <w:rFonts w:ascii="FrankRuehl" w:eastAsia="Calibri" w:hAnsi="FrankRuehl" w:cs="FrankRuehl"/>
          <w:sz w:val="28"/>
          <w:szCs w:val="28"/>
          <w:rtl/>
        </w:rPr>
        <w:t>תיו ל</w:t>
      </w:r>
      <w:r w:rsidRPr="008C5CA8">
        <w:rPr>
          <w:rFonts w:ascii="FrankRuehl" w:eastAsia="Calibri" w:hAnsi="FrankRuehl" w:cs="FrankRuehl" w:hint="cs"/>
          <w:sz w:val="28"/>
          <w:szCs w:val="28"/>
          <w:rtl/>
        </w:rPr>
        <w:t xml:space="preserve">קבל </w:t>
      </w:r>
      <w:r w:rsidRPr="008C5CA8">
        <w:rPr>
          <w:rFonts w:ascii="FrankRuehl" w:eastAsia="Calibri" w:hAnsi="FrankRuehl" w:cs="FrankRuehl"/>
          <w:sz w:val="28"/>
          <w:szCs w:val="28"/>
          <w:rtl/>
        </w:rPr>
        <w:t>500 ₪ נוספים לא נענו. על הנאשם נגזרו 8 חודשי מאסר בפועל.</w:t>
      </w:r>
      <w:r w:rsidRPr="008C5CA8">
        <w:rPr>
          <w:rFonts w:ascii="FrankRuehl" w:eastAsia="Calibri" w:hAnsi="FrankRuehl" w:cs="FrankRuehl" w:hint="cs"/>
          <w:sz w:val="28"/>
          <w:szCs w:val="28"/>
          <w:rtl/>
        </w:rPr>
        <w:t xml:space="preserve"> מקרה זה חמור יותר בשל כך שהשוחד ניתן כתמורה לסטייה מהשורה שהיה בה כדי לסכן את בריאות הציבור. </w:t>
      </w:r>
    </w:p>
    <w:p w:rsidR="00052819" w:rsidRPr="008C5CA8" w:rsidRDefault="00052819" w:rsidP="008C5CA8">
      <w:pPr>
        <w:pStyle w:val="af"/>
        <w:numPr>
          <w:ilvl w:val="0"/>
          <w:numId w:val="6"/>
        </w:numPr>
        <w:spacing w:after="160" w:line="360" w:lineRule="auto"/>
        <w:jc w:val="both"/>
        <w:rPr>
          <w:rFonts w:ascii="FrankRuehl" w:eastAsia="Calibri" w:hAnsi="FrankRuehl" w:cs="FrankRuehl"/>
          <w:sz w:val="28"/>
          <w:szCs w:val="28"/>
          <w:rtl/>
        </w:rPr>
      </w:pPr>
      <w:r w:rsidRPr="008C5CA8">
        <w:rPr>
          <w:rFonts w:ascii="FrankRuehl" w:eastAsia="Calibri" w:hAnsi="FrankRuehl" w:cs="FrankRuehl" w:hint="cs"/>
          <w:sz w:val="28"/>
          <w:szCs w:val="28"/>
          <w:rtl/>
        </w:rPr>
        <w:t>בת"פ 1585/04</w:t>
      </w:r>
      <w:r w:rsidRPr="008C5CA8">
        <w:rPr>
          <w:rFonts w:ascii="FrankRuehl" w:eastAsia="Calibri" w:hAnsi="FrankRuehl" w:cs="FrankRuehl"/>
          <w:sz w:val="28"/>
          <w:szCs w:val="28"/>
          <w:rtl/>
        </w:rPr>
        <w:t> </w:t>
      </w:r>
      <w:r w:rsidRPr="008C5CA8">
        <w:rPr>
          <w:rFonts w:ascii="FrankRuehl" w:eastAsia="Calibri" w:hAnsi="FrankRuehl" w:cs="FrankRuehl"/>
          <w:b/>
          <w:bCs/>
          <w:sz w:val="28"/>
          <w:szCs w:val="28"/>
          <w:rtl/>
        </w:rPr>
        <w:t>מדינת ישראל נ' שרון</w:t>
      </w:r>
      <w:r w:rsidRPr="008C5CA8">
        <w:rPr>
          <w:rFonts w:ascii="FrankRuehl" w:eastAsia="Calibri" w:hAnsi="FrankRuehl" w:cs="FrankRuehl" w:hint="cs"/>
          <w:sz w:val="28"/>
          <w:szCs w:val="28"/>
          <w:rtl/>
        </w:rPr>
        <w:t xml:space="preserve"> </w:t>
      </w:r>
      <w:r w:rsidRPr="008C5CA8">
        <w:rPr>
          <w:rFonts w:ascii="FrankRuehl" w:eastAsia="Calibri" w:hAnsi="FrankRuehl" w:cs="FrankRuehl"/>
          <w:sz w:val="28"/>
          <w:szCs w:val="28"/>
          <w:rtl/>
        </w:rPr>
        <w:t>(6.</w:t>
      </w:r>
      <w:r w:rsidRPr="008C5CA8">
        <w:rPr>
          <w:rFonts w:ascii="FrankRuehl" w:eastAsia="Calibri" w:hAnsi="FrankRuehl" w:cs="FrankRuehl" w:hint="cs"/>
          <w:sz w:val="28"/>
          <w:szCs w:val="28"/>
          <w:rtl/>
        </w:rPr>
        <w:t>0</w:t>
      </w:r>
      <w:r w:rsidRPr="008C5CA8">
        <w:rPr>
          <w:rFonts w:ascii="FrankRuehl" w:eastAsia="Calibri" w:hAnsi="FrankRuehl" w:cs="FrankRuehl"/>
          <w:sz w:val="28"/>
          <w:szCs w:val="28"/>
          <w:rtl/>
        </w:rPr>
        <w:t>6.11)</w:t>
      </w:r>
      <w:r w:rsidRPr="008C5CA8">
        <w:rPr>
          <w:rFonts w:ascii="FrankRuehl" w:eastAsia="Calibri" w:hAnsi="FrankRuehl" w:cs="FrankRuehl" w:hint="cs"/>
          <w:sz w:val="28"/>
          <w:szCs w:val="28"/>
          <w:rtl/>
        </w:rPr>
        <w:t xml:space="preserve"> נדון </w:t>
      </w:r>
      <w:r w:rsidRPr="008C5CA8">
        <w:rPr>
          <w:rFonts w:ascii="FrankRuehl" w:eastAsia="Calibri" w:hAnsi="FrankRuehl" w:cs="FrankRuehl"/>
          <w:sz w:val="28"/>
          <w:szCs w:val="28"/>
          <w:rtl/>
        </w:rPr>
        <w:t>חבר מועצת העיר חיפה וחבר בוועדת המשנה לועדה המקומית לתכנון ובנייה</w:t>
      </w:r>
      <w:r w:rsidRPr="008C5CA8">
        <w:rPr>
          <w:rFonts w:ascii="FrankRuehl" w:eastAsia="Calibri" w:hAnsi="FrankRuehl" w:cs="FrankRuehl" w:hint="cs"/>
          <w:sz w:val="28"/>
          <w:szCs w:val="28"/>
          <w:rtl/>
        </w:rPr>
        <w:t xml:space="preserve">, על כל שהוא </w:t>
      </w:r>
      <w:r w:rsidRPr="008C5CA8">
        <w:rPr>
          <w:rFonts w:ascii="FrankRuehl" w:eastAsia="Calibri" w:hAnsi="FrankRuehl" w:cs="FrankRuehl"/>
          <w:sz w:val="28"/>
          <w:szCs w:val="28"/>
          <w:rtl/>
        </w:rPr>
        <w:t>דרש ס</w:t>
      </w:r>
      <w:r w:rsidRPr="008C5CA8">
        <w:rPr>
          <w:rFonts w:ascii="FrankRuehl" w:eastAsia="Calibri" w:hAnsi="FrankRuehl" w:cs="FrankRuehl" w:hint="cs"/>
          <w:sz w:val="28"/>
          <w:szCs w:val="28"/>
          <w:rtl/>
        </w:rPr>
        <w:t>ך</w:t>
      </w:r>
      <w:r w:rsidRPr="008C5CA8">
        <w:rPr>
          <w:rFonts w:ascii="FrankRuehl" w:eastAsia="Calibri" w:hAnsi="FrankRuehl" w:cs="FrankRuehl"/>
          <w:sz w:val="28"/>
          <w:szCs w:val="28"/>
          <w:rtl/>
        </w:rPr>
        <w:t xml:space="preserve"> של 50,000 דולר בתמורה לתמיכתו באישור בקשת חריגת הבנייה של</w:t>
      </w:r>
      <w:r w:rsidRPr="008C5CA8">
        <w:rPr>
          <w:rFonts w:ascii="FrankRuehl" w:eastAsia="Calibri" w:hAnsi="FrankRuehl" w:cs="FrankRuehl" w:hint="cs"/>
          <w:sz w:val="28"/>
          <w:szCs w:val="28"/>
          <w:rtl/>
        </w:rPr>
        <w:t xml:space="preserve"> </w:t>
      </w:r>
      <w:r w:rsidRPr="008C5CA8">
        <w:rPr>
          <w:rFonts w:ascii="FrankRuehl" w:eastAsia="Calibri" w:hAnsi="FrankRuehl" w:cs="FrankRuehl"/>
          <w:sz w:val="28"/>
          <w:szCs w:val="28"/>
          <w:rtl/>
        </w:rPr>
        <w:t>המתלונן. על הנאשם נגזרו 6 חודשי מאסר לריצוי על דרך של עבודות שירות, לצד ענישה נלווית. בקשת רשות ערעור נדחתה על ידי בית המשפט העליון</w:t>
      </w:r>
      <w:r w:rsidRPr="008C5CA8">
        <w:rPr>
          <w:rFonts w:ascii="FrankRuehl" w:eastAsia="Calibri" w:hAnsi="FrankRuehl" w:cs="FrankRuehl" w:hint="cs"/>
          <w:sz w:val="28"/>
          <w:szCs w:val="28"/>
          <w:rtl/>
        </w:rPr>
        <w:t xml:space="preserve"> (רע"פ 8599/11</w:t>
      </w:r>
      <w:r w:rsidRPr="008C5CA8">
        <w:rPr>
          <w:rFonts w:ascii="FrankRuehl" w:eastAsia="Calibri" w:hAnsi="FrankRuehl" w:cs="FrankRuehl"/>
          <w:sz w:val="28"/>
          <w:szCs w:val="28"/>
          <w:rtl/>
        </w:rPr>
        <w:t> </w:t>
      </w:r>
      <w:r w:rsidRPr="008C5CA8">
        <w:rPr>
          <w:rFonts w:ascii="FrankRuehl" w:eastAsia="Calibri" w:hAnsi="FrankRuehl" w:cs="FrankRuehl"/>
          <w:b/>
          <w:bCs/>
          <w:sz w:val="28"/>
          <w:szCs w:val="28"/>
          <w:rtl/>
        </w:rPr>
        <w:t>שרון נ</w:t>
      </w:r>
      <w:r w:rsidRPr="008C5CA8">
        <w:rPr>
          <w:rFonts w:ascii="FrankRuehl" w:eastAsia="Calibri" w:hAnsi="FrankRuehl" w:cs="FrankRuehl" w:hint="cs"/>
          <w:b/>
          <w:bCs/>
          <w:sz w:val="28"/>
          <w:szCs w:val="28"/>
          <w:rtl/>
        </w:rPr>
        <w:t>'</w:t>
      </w:r>
      <w:r w:rsidRPr="008C5CA8">
        <w:rPr>
          <w:rFonts w:ascii="FrankRuehl" w:eastAsia="Calibri" w:hAnsi="FrankRuehl" w:cs="FrankRuehl"/>
          <w:b/>
          <w:bCs/>
          <w:sz w:val="28"/>
          <w:szCs w:val="28"/>
          <w:rtl/>
        </w:rPr>
        <w:t xml:space="preserve"> מדינת ישראל</w:t>
      </w:r>
      <w:r w:rsidRPr="008C5CA8">
        <w:rPr>
          <w:rFonts w:ascii="FrankRuehl" w:eastAsia="Calibri" w:hAnsi="FrankRuehl" w:cs="FrankRuehl"/>
          <w:sz w:val="28"/>
          <w:szCs w:val="28"/>
          <w:rtl/>
        </w:rPr>
        <w:t> (24.11.11)</w:t>
      </w:r>
      <w:r w:rsidRPr="008C5CA8">
        <w:rPr>
          <w:rFonts w:ascii="FrankRuehl" w:eastAsia="Calibri" w:hAnsi="FrankRuehl" w:cs="FrankRuehl" w:hint="cs"/>
          <w:sz w:val="28"/>
          <w:szCs w:val="28"/>
          <w:rtl/>
        </w:rPr>
        <w:t xml:space="preserve">). גם במקרה זה ישנה חמורה בכך שהשוחד ניתן בתמורה לסטייה מהשורה, כשהשורה היא אכיפת חוקי התכנון והבנייה. </w:t>
      </w:r>
    </w:p>
    <w:p w:rsidR="00052819" w:rsidRPr="008C5CA8" w:rsidRDefault="00052819" w:rsidP="008C5CA8">
      <w:pPr>
        <w:pStyle w:val="af"/>
        <w:numPr>
          <w:ilvl w:val="0"/>
          <w:numId w:val="6"/>
        </w:numPr>
        <w:spacing w:after="160" w:line="360" w:lineRule="auto"/>
        <w:jc w:val="both"/>
        <w:rPr>
          <w:rFonts w:ascii="FrankRuehl" w:eastAsia="Calibri" w:hAnsi="FrankRuehl" w:cs="FrankRuehl"/>
          <w:sz w:val="28"/>
          <w:szCs w:val="28"/>
          <w:rtl/>
        </w:rPr>
      </w:pPr>
      <w:r w:rsidRPr="008C5CA8">
        <w:rPr>
          <w:rFonts w:ascii="FrankRuehl" w:eastAsia="Calibri" w:hAnsi="FrankRuehl" w:cs="FrankRuehl" w:hint="cs"/>
          <w:sz w:val="28"/>
          <w:szCs w:val="28"/>
          <w:rtl/>
        </w:rPr>
        <w:t>בת"פ (מחוזי-י-ם) 51913-06-14</w:t>
      </w:r>
      <w:r w:rsidRPr="008C5CA8">
        <w:rPr>
          <w:rFonts w:ascii="FrankRuehl" w:eastAsia="Calibri" w:hAnsi="FrankRuehl" w:cs="FrankRuehl"/>
          <w:sz w:val="28"/>
          <w:szCs w:val="28"/>
          <w:rtl/>
        </w:rPr>
        <w:t> </w:t>
      </w:r>
      <w:r w:rsidRPr="008C5CA8">
        <w:rPr>
          <w:rFonts w:ascii="FrankRuehl" w:eastAsia="Calibri" w:hAnsi="FrankRuehl" w:cs="FrankRuehl"/>
          <w:b/>
          <w:bCs/>
          <w:sz w:val="28"/>
          <w:szCs w:val="28"/>
          <w:rtl/>
        </w:rPr>
        <w:t>מדינת ישראל נ' עבאסי</w:t>
      </w:r>
      <w:r w:rsidRPr="008C5CA8">
        <w:rPr>
          <w:rFonts w:ascii="FrankRuehl" w:eastAsia="Calibri" w:hAnsi="FrankRuehl" w:cs="FrankRuehl"/>
          <w:sz w:val="28"/>
          <w:szCs w:val="28"/>
          <w:rtl/>
        </w:rPr>
        <w:t> (5.10.16)</w:t>
      </w:r>
      <w:r w:rsidRPr="008C5CA8">
        <w:rPr>
          <w:rFonts w:ascii="FrankRuehl" w:eastAsia="Calibri" w:hAnsi="FrankRuehl" w:cs="FrankRuehl" w:hint="cs"/>
          <w:sz w:val="28"/>
          <w:szCs w:val="28"/>
          <w:rtl/>
        </w:rPr>
        <w:t xml:space="preserve">, אילו הפנו ב"כ הנאשם, נידון עניינו של נאשם, </w:t>
      </w:r>
      <w:r w:rsidRPr="008C5CA8">
        <w:rPr>
          <w:rFonts w:ascii="FrankRuehl" w:eastAsia="Calibri" w:hAnsi="FrankRuehl" w:cs="FrankRuehl"/>
          <w:sz w:val="28"/>
          <w:szCs w:val="28"/>
          <w:rtl/>
        </w:rPr>
        <w:t xml:space="preserve">עובד בחברת ניהול נכסים שנשכרה ע"י העירייה, </w:t>
      </w:r>
      <w:r w:rsidRPr="008C5CA8">
        <w:rPr>
          <w:rFonts w:ascii="FrankRuehl" w:eastAsia="Calibri" w:hAnsi="FrankRuehl" w:cs="FrankRuehl" w:hint="cs"/>
          <w:sz w:val="28"/>
          <w:szCs w:val="28"/>
          <w:rtl/>
        </w:rPr>
        <w:t>ש</w:t>
      </w:r>
      <w:r w:rsidRPr="008C5CA8">
        <w:rPr>
          <w:rFonts w:ascii="FrankRuehl" w:eastAsia="Calibri" w:hAnsi="FrankRuehl" w:cs="FrankRuehl"/>
          <w:sz w:val="28"/>
          <w:szCs w:val="28"/>
          <w:rtl/>
        </w:rPr>
        <w:t xml:space="preserve">הורשע במסגרת הסדר טיעון בעבירה של בקשת שוחד, בכך שביקש תשלום על מנת שיסייע למתלוננים לסגור תיק חריגות בנייה בנכסם, לאחר שהציג להם </w:t>
      </w:r>
      <w:r w:rsidRPr="008C5CA8">
        <w:rPr>
          <w:rFonts w:ascii="FrankRuehl" w:eastAsia="Calibri" w:hAnsi="FrankRuehl" w:cs="FrankRuehl" w:hint="cs"/>
          <w:sz w:val="28"/>
          <w:szCs w:val="28"/>
          <w:rtl/>
        </w:rPr>
        <w:t xml:space="preserve">על ידו </w:t>
      </w:r>
      <w:r w:rsidRPr="008C5CA8">
        <w:rPr>
          <w:rFonts w:ascii="FrankRuehl" w:eastAsia="Calibri" w:hAnsi="FrankRuehl" w:cs="FrankRuehl"/>
          <w:sz w:val="28"/>
          <w:szCs w:val="28"/>
          <w:rtl/>
        </w:rPr>
        <w:t xml:space="preserve">מצג שווא לפיו </w:t>
      </w:r>
      <w:r w:rsidRPr="008C5CA8">
        <w:rPr>
          <w:rFonts w:ascii="FrankRuehl" w:eastAsia="Calibri" w:hAnsi="FrankRuehl" w:cs="FrankRuehl"/>
          <w:sz w:val="28"/>
          <w:szCs w:val="28"/>
          <w:rtl/>
        </w:rPr>
        <w:lastRenderedPageBreak/>
        <w:t>קיימות חריגות. הנאשם "הסכים" להסתפק בסכום נמוך ממה שביקש, בגובה 7,000 ₪ ולבסוף קיבל רק חלק מהתשלום בגובה 2,600 ₪. בית המשפט קבע מתחם ענישה שנע בין 6 ל-18 חודשי מאסר וגזר על הנאשם 6 חודשי מאסר לריצוי בדרך של עבודות שירות, לצד ענישה נלווית.</w:t>
      </w:r>
    </w:p>
    <w:p w:rsidR="00052819" w:rsidRPr="008C5CA8" w:rsidRDefault="00052819" w:rsidP="008C5CA8">
      <w:pPr>
        <w:pStyle w:val="af"/>
        <w:numPr>
          <w:ilvl w:val="0"/>
          <w:numId w:val="6"/>
        </w:numPr>
        <w:spacing w:after="160" w:line="360" w:lineRule="auto"/>
        <w:jc w:val="both"/>
        <w:rPr>
          <w:rFonts w:ascii="FrankRuehl" w:eastAsia="Calibri" w:hAnsi="FrankRuehl" w:cs="FrankRuehl"/>
          <w:sz w:val="28"/>
          <w:szCs w:val="28"/>
          <w:rtl/>
        </w:rPr>
      </w:pPr>
      <w:r w:rsidRPr="008C5CA8">
        <w:rPr>
          <w:rFonts w:ascii="FrankRuehl" w:eastAsia="Calibri" w:hAnsi="FrankRuehl" w:cs="FrankRuehl" w:hint="cs"/>
          <w:sz w:val="28"/>
          <w:szCs w:val="28"/>
          <w:rtl/>
        </w:rPr>
        <w:t>בת"פ (מחוזי-ב"ש) 12044-01-14</w:t>
      </w:r>
      <w:r w:rsidRPr="008C5CA8">
        <w:rPr>
          <w:rFonts w:ascii="FrankRuehl" w:eastAsia="Calibri" w:hAnsi="FrankRuehl" w:cs="FrankRuehl"/>
          <w:sz w:val="28"/>
          <w:szCs w:val="28"/>
          <w:rtl/>
        </w:rPr>
        <w:t> </w:t>
      </w:r>
      <w:r w:rsidRPr="008C5CA8">
        <w:rPr>
          <w:rFonts w:ascii="FrankRuehl" w:eastAsia="Calibri" w:hAnsi="FrankRuehl" w:cs="FrankRuehl"/>
          <w:b/>
          <w:bCs/>
          <w:sz w:val="28"/>
          <w:szCs w:val="28"/>
          <w:rtl/>
        </w:rPr>
        <w:t>מדינת ישראל נ' דורי</w:t>
      </w:r>
      <w:r w:rsidRPr="008C5CA8">
        <w:rPr>
          <w:rFonts w:ascii="FrankRuehl" w:eastAsia="Calibri" w:hAnsi="FrankRuehl" w:cs="FrankRuehl"/>
          <w:sz w:val="28"/>
          <w:szCs w:val="28"/>
          <w:rtl/>
        </w:rPr>
        <w:t> (29.11.15)</w:t>
      </w:r>
      <w:r w:rsidRPr="008C5CA8">
        <w:rPr>
          <w:rFonts w:ascii="FrankRuehl" w:eastAsia="Calibri" w:hAnsi="FrankRuehl" w:cs="FrankRuehl" w:hint="cs"/>
          <w:sz w:val="28"/>
          <w:szCs w:val="28"/>
          <w:rtl/>
        </w:rPr>
        <w:t xml:space="preserve">), </w:t>
      </w:r>
      <w:r w:rsidRPr="008C5CA8">
        <w:rPr>
          <w:rFonts w:ascii="FrankRuehl" w:eastAsia="Calibri" w:hAnsi="FrankRuehl" w:cs="FrankRuehl"/>
          <w:sz w:val="28"/>
          <w:szCs w:val="28"/>
          <w:rtl/>
        </w:rPr>
        <w:t>נאשם, מפקח בנייה בעיריית אשדוד, הורשע במסגרת הסדר טיעון בעבירות של בקשת שוחד ולקיחת שוחד. באישום הראשון הורשע בכך שלאחר שהצביע על חריגות בנייה בעסקו של המתלונן הציע לו, בתמורה לסכום של 3,500 או 4,000 ₪, כי המתלונן יערוך שינויים זמניים בנכס והנאשם יבטל לו את הדו"ח. הכספים לא נתקבלו. באישום השני, הורשע בכך שפנה לבעל עסק והציע לכתוב עבורו חוות דעת חיובית אף שעסקו אינו עומד בתנאי ההיתר, בתמורה לתשלום בגובה 3,000 ₪. בית המשפט המחוזי קבע מתחם שנע בין 6 ל-18 חודשי מאסר וגזר עליו 6 חודשי מאסר לריצוי על דרך של עבודות שירות, לצד ענישה נלווית.</w:t>
      </w:r>
      <w:r w:rsidRPr="008C5CA8">
        <w:rPr>
          <w:rFonts w:ascii="FrankRuehl" w:eastAsia="Calibri" w:hAnsi="FrankRuehl" w:cs="FrankRuehl" w:hint="cs"/>
          <w:sz w:val="28"/>
          <w:szCs w:val="28"/>
          <w:rtl/>
        </w:rPr>
        <w:t xml:space="preserve"> ערעור שהגישה המדינה על קולת העונש (ע"פ 143/16</w:t>
      </w:r>
      <w:r w:rsidRPr="008C5CA8">
        <w:rPr>
          <w:rFonts w:ascii="FrankRuehl" w:eastAsia="Calibri" w:hAnsi="FrankRuehl" w:cs="FrankRuehl"/>
          <w:sz w:val="28"/>
          <w:szCs w:val="28"/>
          <w:rtl/>
        </w:rPr>
        <w:t> </w:t>
      </w:r>
      <w:r w:rsidRPr="008C5CA8">
        <w:rPr>
          <w:rFonts w:ascii="FrankRuehl" w:eastAsia="Calibri" w:hAnsi="FrankRuehl" w:cs="FrankRuehl"/>
          <w:b/>
          <w:bCs/>
          <w:sz w:val="28"/>
          <w:szCs w:val="28"/>
          <w:rtl/>
        </w:rPr>
        <w:t>מדינת ישראל נ' דורי</w:t>
      </w:r>
      <w:r w:rsidRPr="008C5CA8">
        <w:rPr>
          <w:rFonts w:ascii="FrankRuehl" w:eastAsia="Calibri" w:hAnsi="FrankRuehl" w:cs="FrankRuehl"/>
          <w:sz w:val="28"/>
          <w:szCs w:val="28"/>
          <w:rtl/>
        </w:rPr>
        <w:t> (10.</w:t>
      </w:r>
      <w:r w:rsidRPr="008C5CA8">
        <w:rPr>
          <w:rFonts w:ascii="FrankRuehl" w:eastAsia="Calibri" w:hAnsi="FrankRuehl" w:cs="FrankRuehl" w:hint="cs"/>
          <w:sz w:val="28"/>
          <w:szCs w:val="28"/>
          <w:rtl/>
        </w:rPr>
        <w:t>0</w:t>
      </w:r>
      <w:r w:rsidRPr="008C5CA8">
        <w:rPr>
          <w:rFonts w:ascii="FrankRuehl" w:eastAsia="Calibri" w:hAnsi="FrankRuehl" w:cs="FrankRuehl"/>
          <w:sz w:val="28"/>
          <w:szCs w:val="28"/>
          <w:rtl/>
        </w:rPr>
        <w:t>4.16)</w:t>
      </w:r>
      <w:r w:rsidRPr="008C5CA8">
        <w:rPr>
          <w:rFonts w:ascii="FrankRuehl" w:eastAsia="Calibri" w:hAnsi="FrankRuehl" w:cs="FrankRuehl" w:hint="cs"/>
          <w:sz w:val="28"/>
          <w:szCs w:val="28"/>
          <w:rtl/>
        </w:rPr>
        <w:t>)</w:t>
      </w:r>
      <w:r w:rsidRPr="008C5CA8">
        <w:rPr>
          <w:rFonts w:ascii="FrankRuehl" w:eastAsia="Calibri" w:hAnsi="FrankRuehl" w:cs="FrankRuehl"/>
          <w:sz w:val="28"/>
          <w:szCs w:val="28"/>
          <w:rtl/>
        </w:rPr>
        <w:t>, התקבל באופן חלקי, ונקבע כי ה</w:t>
      </w:r>
      <w:r w:rsidRPr="008C5CA8">
        <w:rPr>
          <w:rFonts w:ascii="FrankRuehl" w:eastAsia="Calibri" w:hAnsi="FrankRuehl" w:cs="FrankRuehl" w:hint="cs"/>
          <w:sz w:val="28"/>
          <w:szCs w:val="28"/>
          <w:rtl/>
        </w:rPr>
        <w:t xml:space="preserve">נאשם </w:t>
      </w:r>
      <w:r w:rsidRPr="008C5CA8">
        <w:rPr>
          <w:rFonts w:ascii="FrankRuehl" w:eastAsia="Calibri" w:hAnsi="FrankRuehl" w:cs="FrankRuehl"/>
          <w:sz w:val="28"/>
          <w:szCs w:val="28"/>
          <w:rtl/>
        </w:rPr>
        <w:t>ירצה 4 חודשי מאסר מאחורי סורג ובריח ולאחריו חודשיים בעבודות שירות, בית המשפט קבע שאף שלא התערב במתחם שקבע בית המשפט המחוזי, היה מקום להחמירו במידה מסוימת.</w:t>
      </w:r>
      <w:r w:rsidRPr="008C5CA8">
        <w:rPr>
          <w:rFonts w:ascii="FrankRuehl" w:eastAsia="Calibri" w:hAnsi="FrankRuehl" w:cs="FrankRuehl" w:hint="cs"/>
          <w:sz w:val="28"/>
          <w:szCs w:val="28"/>
          <w:rtl/>
        </w:rPr>
        <w:t xml:space="preserve"> גם במקרה זה מדובר בשוחד תמורת מעשה של סטייה מהשורה. </w:t>
      </w:r>
    </w:p>
    <w:p w:rsidR="00F862B6" w:rsidRPr="00377936" w:rsidRDefault="00102916" w:rsidP="0086132F">
      <w:pPr>
        <w:pStyle w:val="af"/>
        <w:numPr>
          <w:ilvl w:val="0"/>
          <w:numId w:val="6"/>
        </w:numPr>
        <w:spacing w:after="160" w:line="360" w:lineRule="auto"/>
        <w:jc w:val="both"/>
        <w:rPr>
          <w:rFonts w:ascii="FrankRuehl" w:eastAsia="Calibri" w:hAnsi="FrankRuehl" w:cs="FrankRuehl"/>
          <w:sz w:val="28"/>
          <w:szCs w:val="28"/>
          <w:rtl/>
        </w:rPr>
      </w:pPr>
      <w:r w:rsidRPr="00377936">
        <w:rPr>
          <w:rFonts w:ascii="FrankRuehl" w:hAnsi="FrankRuehl" w:cs="FrankRuehl"/>
          <w:color w:val="000000"/>
          <w:sz w:val="28"/>
          <w:szCs w:val="28"/>
          <w:rtl/>
        </w:rPr>
        <w:t>ב</w:t>
      </w:r>
      <w:r w:rsidR="00F862B6" w:rsidRPr="00377936">
        <w:rPr>
          <w:rFonts w:ascii="FrankRuehl" w:hAnsi="FrankRuehl" w:cs="FrankRuehl"/>
          <w:color w:val="000000"/>
          <w:sz w:val="28"/>
          <w:szCs w:val="28"/>
          <w:rtl/>
        </w:rPr>
        <w:t>ת</w:t>
      </w:r>
      <w:r w:rsidRPr="00377936">
        <w:rPr>
          <w:rFonts w:ascii="FrankRuehl" w:hAnsi="FrankRuehl" w:cs="FrankRuehl"/>
          <w:color w:val="000000"/>
          <w:sz w:val="28"/>
          <w:szCs w:val="28"/>
          <w:rtl/>
        </w:rPr>
        <w:t>"</w:t>
      </w:r>
      <w:r w:rsidR="00F862B6" w:rsidRPr="00377936">
        <w:rPr>
          <w:rFonts w:ascii="FrankRuehl" w:hAnsi="FrankRuehl" w:cs="FrankRuehl"/>
          <w:color w:val="000000"/>
          <w:sz w:val="28"/>
          <w:szCs w:val="28"/>
          <w:rtl/>
        </w:rPr>
        <w:t>פ (</w:t>
      </w:r>
      <w:r w:rsidRPr="00377936">
        <w:rPr>
          <w:rFonts w:ascii="FrankRuehl" w:hAnsi="FrankRuehl" w:cs="FrankRuehl"/>
          <w:color w:val="000000"/>
          <w:sz w:val="28"/>
          <w:szCs w:val="28"/>
          <w:rtl/>
        </w:rPr>
        <w:t>מחוזי-</w:t>
      </w:r>
      <w:r w:rsidR="00F862B6" w:rsidRPr="00377936">
        <w:rPr>
          <w:rFonts w:ascii="FrankRuehl" w:hAnsi="FrankRuehl" w:cs="FrankRuehl"/>
          <w:color w:val="000000"/>
          <w:sz w:val="28"/>
          <w:szCs w:val="28"/>
          <w:rtl/>
        </w:rPr>
        <w:t>ת"א) 56687-02-19‏</w:t>
      </w:r>
      <w:r w:rsidR="00F862B6" w:rsidRPr="00377936">
        <w:rPr>
          <w:rFonts w:ascii="FrankRuehl" w:hAnsi="FrankRuehl" w:cs="FrankRuehl"/>
          <w:b/>
          <w:bCs/>
          <w:color w:val="000000"/>
          <w:sz w:val="28"/>
          <w:szCs w:val="28"/>
          <w:rtl/>
        </w:rPr>
        <w:t> מדינת ישראל נ' חסון צמח</w:t>
      </w:r>
      <w:r w:rsidR="00377936" w:rsidRPr="00377936">
        <w:rPr>
          <w:rFonts w:ascii="FrankRuehl" w:hAnsi="FrankRuehl" w:cs="FrankRuehl" w:hint="cs"/>
          <w:b/>
          <w:bCs/>
          <w:color w:val="000000"/>
          <w:sz w:val="28"/>
          <w:szCs w:val="28"/>
          <w:rtl/>
        </w:rPr>
        <w:t xml:space="preserve"> </w:t>
      </w:r>
      <w:r w:rsidR="0086132F">
        <w:rPr>
          <w:rFonts w:ascii="FrankRuehl" w:hAnsi="FrankRuehl" w:cs="FrankRuehl" w:hint="cs"/>
          <w:color w:val="000000"/>
          <w:sz w:val="28"/>
          <w:szCs w:val="28"/>
          <w:rtl/>
        </w:rPr>
        <w:t>(23.05.22</w:t>
      </w:r>
      <w:r w:rsidR="00377936" w:rsidRPr="00377936">
        <w:rPr>
          <w:rFonts w:ascii="FrankRuehl" w:hAnsi="FrankRuehl" w:cs="FrankRuehl" w:hint="cs"/>
          <w:color w:val="000000"/>
          <w:sz w:val="28"/>
          <w:szCs w:val="28"/>
          <w:rtl/>
        </w:rPr>
        <w:t>)</w:t>
      </w:r>
      <w:r w:rsidRPr="00377936">
        <w:rPr>
          <w:rFonts w:ascii="FrankRuehl" w:hAnsi="FrankRuehl" w:cs="FrankRuehl"/>
          <w:color w:val="000000"/>
          <w:sz w:val="28"/>
          <w:szCs w:val="28"/>
          <w:rtl/>
        </w:rPr>
        <w:t>,</w:t>
      </w:r>
      <w:r w:rsidR="008C5CA8">
        <w:rPr>
          <w:rFonts w:ascii="FrankRuehl" w:hAnsi="FrankRuehl" w:cs="FrankRuehl" w:hint="cs"/>
          <w:color w:val="000000"/>
          <w:sz w:val="28"/>
          <w:szCs w:val="28"/>
          <w:rtl/>
        </w:rPr>
        <w:t xml:space="preserve"> אליו הפנו ב"כ הנאשם,</w:t>
      </w:r>
      <w:r w:rsidRPr="00377936">
        <w:rPr>
          <w:rFonts w:ascii="FrankRuehl" w:hAnsi="FrankRuehl" w:cs="FrankRuehl"/>
          <w:color w:val="000000"/>
          <w:sz w:val="28"/>
          <w:szCs w:val="28"/>
          <w:rtl/>
        </w:rPr>
        <w:t xml:space="preserve"> הורשע</w:t>
      </w:r>
      <w:r w:rsidRPr="00377936">
        <w:rPr>
          <w:rFonts w:ascii="FrankRuehl" w:hAnsi="FrankRuehl" w:cs="FrankRuehl"/>
          <w:b/>
          <w:bCs/>
          <w:color w:val="000000"/>
          <w:sz w:val="28"/>
          <w:szCs w:val="28"/>
          <w:rtl/>
        </w:rPr>
        <w:t xml:space="preserve"> </w:t>
      </w:r>
      <w:r w:rsidR="00F862B6" w:rsidRPr="00377936">
        <w:rPr>
          <w:rFonts w:ascii="FrankRuehl" w:eastAsia="Calibri" w:hAnsi="FrankRuehl" w:cs="FrankRuehl"/>
          <w:sz w:val="28"/>
          <w:szCs w:val="28"/>
          <w:rtl/>
        </w:rPr>
        <w:t>נאשם שעבד כעוזר למנהל מחלקת שירותי ניקיון באגף התברואה בעיריית רמת גן</w:t>
      </w:r>
      <w:r w:rsidRPr="00377936">
        <w:rPr>
          <w:rFonts w:ascii="FrankRuehl" w:eastAsia="Calibri" w:hAnsi="FrankRuehl" w:cs="FrankRuehl"/>
          <w:sz w:val="28"/>
          <w:szCs w:val="28"/>
          <w:rtl/>
        </w:rPr>
        <w:t xml:space="preserve">, </w:t>
      </w:r>
      <w:r w:rsidR="00F862B6" w:rsidRPr="00377936">
        <w:rPr>
          <w:rFonts w:ascii="FrankRuehl" w:eastAsia="Calibri" w:hAnsi="FrankRuehl" w:cs="FrankRuehl"/>
          <w:sz w:val="28"/>
          <w:szCs w:val="28"/>
          <w:rtl/>
        </w:rPr>
        <w:t>בחמש עבירות של לקי</w:t>
      </w:r>
      <w:r w:rsidRPr="00377936">
        <w:rPr>
          <w:rFonts w:ascii="FrankRuehl" w:eastAsia="Calibri" w:hAnsi="FrankRuehl" w:cs="FrankRuehl"/>
          <w:sz w:val="28"/>
          <w:szCs w:val="28"/>
          <w:rtl/>
        </w:rPr>
        <w:t>חת שוחד בסך כולל של 84,000 ₪, וה</w:t>
      </w:r>
      <w:r w:rsidR="009E36BB" w:rsidRPr="00377936">
        <w:rPr>
          <w:rFonts w:ascii="FrankRuehl" w:eastAsia="Calibri" w:hAnsi="FrankRuehl" w:cs="FrankRuehl"/>
          <w:sz w:val="28"/>
          <w:szCs w:val="28"/>
          <w:rtl/>
        </w:rPr>
        <w:t xml:space="preserve">ושת </w:t>
      </w:r>
      <w:r w:rsidRPr="00377936">
        <w:rPr>
          <w:rFonts w:ascii="FrankRuehl" w:eastAsia="Calibri" w:hAnsi="FrankRuehl" w:cs="FrankRuehl"/>
          <w:sz w:val="28"/>
          <w:szCs w:val="28"/>
          <w:rtl/>
        </w:rPr>
        <w:t xml:space="preserve">עליו </w:t>
      </w:r>
      <w:r w:rsidR="009E36BB" w:rsidRPr="00377936">
        <w:rPr>
          <w:rFonts w:ascii="FrankRuehl" w:eastAsia="Calibri" w:hAnsi="FrankRuehl" w:cs="FrankRuehl"/>
          <w:sz w:val="28"/>
          <w:szCs w:val="28"/>
          <w:rtl/>
        </w:rPr>
        <w:t>עונש של תשעה חודשי מאסר בעבודות שירות.</w:t>
      </w:r>
    </w:p>
    <w:p w:rsidR="00F862B6" w:rsidRPr="00377936" w:rsidRDefault="00102916" w:rsidP="00377936">
      <w:pPr>
        <w:pStyle w:val="af"/>
        <w:numPr>
          <w:ilvl w:val="0"/>
          <w:numId w:val="6"/>
        </w:numPr>
        <w:spacing w:after="160" w:line="360" w:lineRule="auto"/>
        <w:jc w:val="both"/>
        <w:rPr>
          <w:rFonts w:ascii="FrankRuehl" w:hAnsi="FrankRuehl" w:cs="FrankRuehl"/>
          <w:color w:val="000000"/>
          <w:sz w:val="28"/>
          <w:szCs w:val="28"/>
          <w:rtl/>
        </w:rPr>
      </w:pPr>
      <w:r w:rsidRPr="00377936">
        <w:rPr>
          <w:rFonts w:ascii="FrankRuehl" w:eastAsia="Calibri" w:hAnsi="FrankRuehl" w:cs="FrankRuehl"/>
          <w:sz w:val="28"/>
          <w:szCs w:val="28"/>
          <w:rtl/>
        </w:rPr>
        <w:t>ברע"פ 8802/13</w:t>
      </w:r>
      <w:r w:rsidR="00F862B6" w:rsidRPr="00377936">
        <w:rPr>
          <w:rFonts w:ascii="FrankRuehl" w:hAnsi="FrankRuehl" w:cs="FrankRuehl"/>
          <w:color w:val="000000"/>
          <w:sz w:val="28"/>
          <w:szCs w:val="28"/>
          <w:rtl/>
        </w:rPr>
        <w:t> </w:t>
      </w:r>
      <w:r w:rsidR="00F862B6" w:rsidRPr="00377936">
        <w:rPr>
          <w:rFonts w:ascii="FrankRuehl" w:hAnsi="FrankRuehl" w:cs="FrankRuehl"/>
          <w:b/>
          <w:bCs/>
          <w:color w:val="000000"/>
          <w:sz w:val="28"/>
          <w:szCs w:val="28"/>
          <w:rtl/>
        </w:rPr>
        <w:t>לוי נ' מדינת ישראל</w:t>
      </w:r>
      <w:r w:rsidR="00F862B6" w:rsidRPr="00377936">
        <w:rPr>
          <w:rFonts w:ascii="FrankRuehl" w:hAnsi="FrankRuehl" w:cs="FrankRuehl"/>
          <w:color w:val="000000"/>
          <w:sz w:val="28"/>
          <w:szCs w:val="28"/>
          <w:rtl/>
        </w:rPr>
        <w:t> (10.</w:t>
      </w:r>
      <w:r w:rsidRPr="00377936">
        <w:rPr>
          <w:rFonts w:ascii="FrankRuehl" w:hAnsi="FrankRuehl" w:cs="FrankRuehl"/>
          <w:color w:val="000000"/>
          <w:sz w:val="28"/>
          <w:szCs w:val="28"/>
          <w:rtl/>
        </w:rPr>
        <w:t>0</w:t>
      </w:r>
      <w:r w:rsidR="00F862B6" w:rsidRPr="00377936">
        <w:rPr>
          <w:rFonts w:ascii="FrankRuehl" w:hAnsi="FrankRuehl" w:cs="FrankRuehl"/>
          <w:color w:val="000000"/>
          <w:sz w:val="28"/>
          <w:szCs w:val="28"/>
          <w:rtl/>
        </w:rPr>
        <w:t>3.14)</w:t>
      </w:r>
      <w:r w:rsidRPr="00377936">
        <w:rPr>
          <w:rFonts w:ascii="FrankRuehl" w:hAnsi="FrankRuehl" w:cs="FrankRuehl"/>
          <w:color w:val="000000"/>
          <w:sz w:val="28"/>
          <w:szCs w:val="28"/>
          <w:rtl/>
        </w:rPr>
        <w:t xml:space="preserve"> נידון עניינו של נאשם שה</w:t>
      </w:r>
      <w:r w:rsidR="00F862B6" w:rsidRPr="00377936">
        <w:rPr>
          <w:rFonts w:ascii="FrankRuehl" w:hAnsi="FrankRuehl" w:cs="FrankRuehl"/>
          <w:color w:val="000000"/>
          <w:sz w:val="28"/>
          <w:szCs w:val="28"/>
          <w:rtl/>
        </w:rPr>
        <w:t>ורשע בעבירות של לקיחת שוחד ומרמה והפרת אמונים</w:t>
      </w:r>
      <w:r w:rsidRPr="00377936">
        <w:rPr>
          <w:rFonts w:ascii="FrankRuehl" w:hAnsi="FrankRuehl" w:cs="FrankRuehl"/>
          <w:color w:val="000000"/>
          <w:sz w:val="28"/>
          <w:szCs w:val="28"/>
          <w:rtl/>
        </w:rPr>
        <w:t xml:space="preserve">, </w:t>
      </w:r>
      <w:r w:rsidR="00F862B6" w:rsidRPr="00377936">
        <w:rPr>
          <w:rFonts w:ascii="FrankRuehl" w:hAnsi="FrankRuehl" w:cs="FrankRuehl"/>
          <w:color w:val="000000"/>
          <w:sz w:val="28"/>
          <w:szCs w:val="28"/>
          <w:rtl/>
        </w:rPr>
        <w:t xml:space="preserve">6 חודשי מאסר בפועל, מאסר על תנאי וקנס בסך של 3,500 ₪. </w:t>
      </w:r>
      <w:r w:rsidRPr="00377936">
        <w:rPr>
          <w:rFonts w:ascii="FrankRuehl" w:hAnsi="FrankRuehl" w:cs="FrankRuehl"/>
          <w:color w:val="000000"/>
          <w:sz w:val="28"/>
          <w:szCs w:val="28"/>
          <w:rtl/>
        </w:rPr>
        <w:t xml:space="preserve">באותו מקרה, הנאשם </w:t>
      </w:r>
      <w:r w:rsidR="00F862B6" w:rsidRPr="00377936">
        <w:rPr>
          <w:rFonts w:ascii="FrankRuehl" w:hAnsi="FrankRuehl" w:cs="FrankRuehl"/>
          <w:color w:val="000000"/>
          <w:sz w:val="28"/>
          <w:szCs w:val="28"/>
          <w:rtl/>
        </w:rPr>
        <w:t xml:space="preserve">במסגרת עבודתו כפקח בעירייה, הגיע אל חנותו של המתלונן ודרש ממנו סכומים שונים בתמורה לדחיית חיוב בארנונה. המתלונן סירב. בהמשך, הגיעה אשתו של </w:t>
      </w:r>
      <w:r w:rsidRPr="00377936">
        <w:rPr>
          <w:rFonts w:ascii="FrankRuehl" w:hAnsi="FrankRuehl" w:cs="FrankRuehl"/>
          <w:color w:val="000000"/>
          <w:sz w:val="28"/>
          <w:szCs w:val="28"/>
          <w:rtl/>
        </w:rPr>
        <w:t xml:space="preserve">הנאשם </w:t>
      </w:r>
      <w:r w:rsidR="00F862B6" w:rsidRPr="00377936">
        <w:rPr>
          <w:rFonts w:ascii="FrankRuehl" w:hAnsi="FrankRuehl" w:cs="FrankRuehl"/>
          <w:color w:val="000000"/>
          <w:sz w:val="28"/>
          <w:szCs w:val="28"/>
          <w:rtl/>
        </w:rPr>
        <w:t>לחנותו של המתלונן, רכשה מוצרים שונים ולא שילמה. המערער דרש מהמתלונן הנחה במוצרים בתמורה לכך שלא ידווח לעירייה על גודל החנות. </w:t>
      </w:r>
    </w:p>
    <w:p w:rsidR="00102916" w:rsidRPr="00377936" w:rsidRDefault="003164DD" w:rsidP="00377936">
      <w:pPr>
        <w:pStyle w:val="af"/>
        <w:numPr>
          <w:ilvl w:val="0"/>
          <w:numId w:val="6"/>
        </w:numPr>
        <w:spacing w:after="160" w:line="360" w:lineRule="auto"/>
        <w:jc w:val="both"/>
        <w:rPr>
          <w:rFonts w:ascii="FrankRuehl" w:hAnsi="FrankRuehl" w:cs="FrankRuehl"/>
          <w:color w:val="000000"/>
          <w:sz w:val="28"/>
          <w:szCs w:val="28"/>
          <w:rtl/>
        </w:rPr>
      </w:pPr>
      <w:r w:rsidRPr="00377936">
        <w:rPr>
          <w:rFonts w:ascii="FrankRuehl" w:hAnsi="FrankRuehl" w:cs="FrankRuehl" w:hint="cs"/>
          <w:color w:val="000000"/>
          <w:sz w:val="28"/>
          <w:szCs w:val="28"/>
          <w:rtl/>
        </w:rPr>
        <w:lastRenderedPageBreak/>
        <w:t xml:space="preserve">בע"פ 2216/21 </w:t>
      </w:r>
      <w:r w:rsidR="00F862B6" w:rsidRPr="00377936">
        <w:rPr>
          <w:rFonts w:ascii="FrankRuehl" w:hAnsi="FrankRuehl" w:cs="FrankRuehl"/>
          <w:b/>
          <w:bCs/>
          <w:color w:val="000000"/>
          <w:sz w:val="28"/>
          <w:szCs w:val="28"/>
          <w:rtl/>
        </w:rPr>
        <w:t>עשור נ' מדינת ישראל</w:t>
      </w:r>
      <w:r w:rsidR="00F862B6" w:rsidRPr="00377936">
        <w:rPr>
          <w:rFonts w:ascii="FrankRuehl" w:hAnsi="FrankRuehl" w:cs="FrankRuehl"/>
          <w:color w:val="000000"/>
          <w:sz w:val="28"/>
          <w:szCs w:val="28"/>
          <w:rtl/>
        </w:rPr>
        <w:t xml:space="preserve"> (19.12.21) </w:t>
      </w:r>
      <w:r w:rsidR="00102916" w:rsidRPr="00377936">
        <w:rPr>
          <w:rFonts w:ascii="FrankRuehl" w:hAnsi="FrankRuehl" w:cs="FrankRuehl"/>
          <w:color w:val="000000"/>
          <w:sz w:val="28"/>
          <w:szCs w:val="28"/>
          <w:rtl/>
        </w:rPr>
        <w:t xml:space="preserve">הורשעו ארבע נאשמות </w:t>
      </w:r>
      <w:r w:rsidR="00F862B6" w:rsidRPr="00377936">
        <w:rPr>
          <w:rFonts w:ascii="FrankRuehl" w:hAnsi="FrankRuehl" w:cs="FrankRuehl"/>
          <w:color w:val="000000"/>
          <w:sz w:val="28"/>
          <w:szCs w:val="28"/>
          <w:rtl/>
        </w:rPr>
        <w:t>בעבירות של קבלת שוחד בסכומים המגיעים כדי עשרות אלפי שקלים ובעבירות של הפרת אמונים, במסגרת תפקידן בשירות המזון הארצי במשרד הבריאות המופקד על פיקוח המזון. בית המשפט העליון קבע כי עונשי המאסר, הנעים בין 12 ל- 21 חודשים (לצד מאסרים על תנאי וקנסות), אשר הושתו על המערערות</w:t>
      </w:r>
      <w:r w:rsidR="00102916" w:rsidRPr="00377936">
        <w:rPr>
          <w:rFonts w:ascii="FrankRuehl" w:hAnsi="FrankRuehl" w:cs="FrankRuehl"/>
          <w:color w:val="000000"/>
          <w:sz w:val="28"/>
          <w:szCs w:val="28"/>
          <w:rtl/>
        </w:rPr>
        <w:t>,</w:t>
      </w:r>
      <w:r w:rsidR="00F862B6" w:rsidRPr="00377936">
        <w:rPr>
          <w:rFonts w:ascii="FrankRuehl" w:hAnsi="FrankRuehl" w:cs="FrankRuehl"/>
          <w:color w:val="000000"/>
          <w:sz w:val="28"/>
          <w:szCs w:val="28"/>
          <w:rtl/>
        </w:rPr>
        <w:t xml:space="preserve"> אינם חורגים ממדיניות הענישה הנוהגת</w:t>
      </w:r>
      <w:r w:rsidR="00102916" w:rsidRPr="00377936">
        <w:rPr>
          <w:rFonts w:ascii="FrankRuehl" w:hAnsi="FrankRuehl" w:cs="FrankRuehl"/>
          <w:color w:val="000000"/>
          <w:sz w:val="28"/>
          <w:szCs w:val="28"/>
          <w:rtl/>
        </w:rPr>
        <w:t>.</w:t>
      </w:r>
    </w:p>
    <w:p w:rsidR="00102916" w:rsidRPr="00377936" w:rsidRDefault="00102916" w:rsidP="00377936">
      <w:pPr>
        <w:pStyle w:val="af"/>
        <w:numPr>
          <w:ilvl w:val="0"/>
          <w:numId w:val="6"/>
        </w:numPr>
        <w:spacing w:line="360" w:lineRule="auto"/>
        <w:jc w:val="both"/>
        <w:rPr>
          <w:rFonts w:ascii="FrankRuehl" w:hAnsi="FrankRuehl" w:cs="FrankRuehl"/>
          <w:color w:val="000000"/>
          <w:sz w:val="28"/>
          <w:szCs w:val="28"/>
          <w:rtl/>
        </w:rPr>
      </w:pPr>
      <w:r w:rsidRPr="00377936">
        <w:rPr>
          <w:rFonts w:ascii="FrankRuehl" w:hAnsi="FrankRuehl" w:cs="FrankRuehl"/>
          <w:color w:val="000000"/>
          <w:sz w:val="28"/>
          <w:szCs w:val="28"/>
          <w:rtl/>
        </w:rPr>
        <w:t>בע"פ 3549/17</w:t>
      </w:r>
      <w:r w:rsidR="00F862B6" w:rsidRPr="00377936">
        <w:rPr>
          <w:rFonts w:ascii="FrankRuehl" w:hAnsi="FrankRuehl" w:cs="FrankRuehl"/>
          <w:color w:val="000000"/>
          <w:sz w:val="28"/>
          <w:szCs w:val="28"/>
          <w:rtl/>
        </w:rPr>
        <w:t> </w:t>
      </w:r>
      <w:r w:rsidR="00F862B6" w:rsidRPr="00377936">
        <w:rPr>
          <w:rFonts w:ascii="FrankRuehl" w:hAnsi="FrankRuehl" w:cs="FrankRuehl"/>
          <w:b/>
          <w:bCs/>
          <w:color w:val="000000"/>
          <w:sz w:val="28"/>
          <w:szCs w:val="28"/>
          <w:rtl/>
        </w:rPr>
        <w:t>וינשטיין נ' מדינת ישראל</w:t>
      </w:r>
      <w:r w:rsidR="00F862B6" w:rsidRPr="00377936">
        <w:rPr>
          <w:rFonts w:ascii="FrankRuehl" w:hAnsi="FrankRuehl" w:cs="FrankRuehl"/>
          <w:color w:val="000000"/>
          <w:sz w:val="28"/>
          <w:szCs w:val="28"/>
          <w:rtl/>
        </w:rPr>
        <w:t> (27.11.17)</w:t>
      </w:r>
      <w:r w:rsidRPr="00377936">
        <w:rPr>
          <w:rFonts w:ascii="FrankRuehl" w:hAnsi="FrankRuehl" w:cs="FrankRuehl"/>
          <w:color w:val="000000"/>
          <w:sz w:val="28"/>
          <w:szCs w:val="28"/>
          <w:rtl/>
        </w:rPr>
        <w:t>, נידון עניינו של נאשם, ש</w:t>
      </w:r>
      <w:r w:rsidR="00F862B6" w:rsidRPr="00377936">
        <w:rPr>
          <w:rFonts w:ascii="FrankRuehl" w:hAnsi="FrankRuehl" w:cs="FrankRuehl"/>
          <w:color w:val="000000"/>
          <w:sz w:val="28"/>
          <w:szCs w:val="28"/>
          <w:rtl/>
        </w:rPr>
        <w:t>ב</w:t>
      </w:r>
      <w:r w:rsidRPr="00377936">
        <w:rPr>
          <w:rFonts w:ascii="FrankRuehl" w:hAnsi="FrankRuehl" w:cs="FrankRuehl"/>
          <w:color w:val="000000"/>
          <w:sz w:val="28"/>
          <w:szCs w:val="28"/>
          <w:rtl/>
        </w:rPr>
        <w:t xml:space="preserve">מסגרת תפקידו כמזכיר עירייה לקח </w:t>
      </w:r>
      <w:r w:rsidR="00F862B6" w:rsidRPr="00377936">
        <w:rPr>
          <w:rFonts w:ascii="FrankRuehl" w:hAnsi="FrankRuehl" w:cs="FrankRuehl"/>
          <w:color w:val="000000"/>
          <w:sz w:val="28"/>
          <w:szCs w:val="28"/>
          <w:rtl/>
        </w:rPr>
        <w:t xml:space="preserve">כספי שוחד מחברה שסיפקה שירותי כוח אדם לעירייה, מידי חודש, המגיעים </w:t>
      </w:r>
      <w:r w:rsidRPr="00377936">
        <w:rPr>
          <w:rFonts w:ascii="FrankRuehl" w:hAnsi="FrankRuehl" w:cs="FrankRuehl"/>
          <w:color w:val="000000"/>
          <w:sz w:val="28"/>
          <w:szCs w:val="28"/>
          <w:rtl/>
        </w:rPr>
        <w:t>ל</w:t>
      </w:r>
      <w:r w:rsidR="00F862B6" w:rsidRPr="00377936">
        <w:rPr>
          <w:rFonts w:ascii="FrankRuehl" w:hAnsi="FrankRuehl" w:cs="FrankRuehl"/>
          <w:color w:val="000000"/>
          <w:sz w:val="28"/>
          <w:szCs w:val="28"/>
          <w:rtl/>
        </w:rPr>
        <w:t>כדי</w:t>
      </w:r>
      <w:r w:rsidRPr="00377936">
        <w:rPr>
          <w:rFonts w:ascii="FrankRuehl" w:hAnsi="FrankRuehl" w:cs="FrankRuehl"/>
          <w:color w:val="000000"/>
          <w:sz w:val="28"/>
          <w:szCs w:val="28"/>
          <w:rtl/>
        </w:rPr>
        <w:t xml:space="preserve"> סך של </w:t>
      </w:r>
      <w:r w:rsidR="00F862B6" w:rsidRPr="00377936">
        <w:rPr>
          <w:rFonts w:ascii="FrankRuehl" w:hAnsi="FrankRuehl" w:cs="FrankRuehl"/>
          <w:color w:val="000000"/>
          <w:sz w:val="28"/>
          <w:szCs w:val="28"/>
          <w:rtl/>
        </w:rPr>
        <w:t>78,300 ₪. הערעור התקבל באופן שעונשו הועמד על 26 חודשי מאסר תחת 36 חודשים</w:t>
      </w:r>
      <w:r w:rsidRPr="00377936">
        <w:rPr>
          <w:rFonts w:ascii="FrankRuehl" w:hAnsi="FrankRuehl" w:cs="FrankRuehl"/>
          <w:color w:val="000000"/>
          <w:sz w:val="28"/>
          <w:szCs w:val="28"/>
          <w:rtl/>
        </w:rPr>
        <w:t xml:space="preserve"> שהושתו עליו תחילה. </w:t>
      </w:r>
    </w:p>
    <w:p w:rsidR="003164DD" w:rsidRPr="00377936" w:rsidRDefault="003164DD" w:rsidP="00377936">
      <w:pPr>
        <w:pStyle w:val="af"/>
        <w:numPr>
          <w:ilvl w:val="0"/>
          <w:numId w:val="6"/>
        </w:numPr>
        <w:spacing w:line="360" w:lineRule="auto"/>
        <w:jc w:val="both"/>
        <w:rPr>
          <w:rFonts w:ascii="FrankRuehl" w:hAnsi="FrankRuehl" w:cs="FrankRuehl"/>
          <w:color w:val="000000"/>
          <w:sz w:val="28"/>
          <w:szCs w:val="28"/>
        </w:rPr>
      </w:pPr>
      <w:r w:rsidRPr="00377936">
        <w:rPr>
          <w:rFonts w:ascii="FrankRuehl" w:hAnsi="FrankRuehl" w:cs="FrankRuehl" w:hint="cs"/>
          <w:color w:val="000000"/>
          <w:sz w:val="28"/>
          <w:szCs w:val="28"/>
          <w:rtl/>
        </w:rPr>
        <w:t>בע"פ 4456/14</w:t>
      </w:r>
      <w:r w:rsidR="00F862B6" w:rsidRPr="00377936">
        <w:rPr>
          <w:rFonts w:ascii="FrankRuehl" w:hAnsi="FrankRuehl" w:cs="FrankRuehl"/>
          <w:color w:val="000000"/>
          <w:sz w:val="28"/>
          <w:szCs w:val="28"/>
          <w:rtl/>
        </w:rPr>
        <w:t> </w:t>
      </w:r>
      <w:r w:rsidR="00F862B6" w:rsidRPr="00377936">
        <w:rPr>
          <w:rFonts w:ascii="FrankRuehl" w:hAnsi="FrankRuehl" w:cs="FrankRuehl"/>
          <w:b/>
          <w:bCs/>
          <w:color w:val="000000"/>
          <w:sz w:val="28"/>
          <w:szCs w:val="28"/>
          <w:rtl/>
        </w:rPr>
        <w:t>קלנר נ' מדינת ישראל</w:t>
      </w:r>
      <w:r w:rsidR="00F862B6" w:rsidRPr="00377936">
        <w:rPr>
          <w:rFonts w:ascii="FrankRuehl" w:hAnsi="FrankRuehl" w:cs="FrankRuehl"/>
          <w:color w:val="000000"/>
          <w:sz w:val="28"/>
          <w:szCs w:val="28"/>
          <w:rtl/>
        </w:rPr>
        <w:t> (29.12.15)</w:t>
      </w:r>
      <w:r w:rsidRPr="00377936">
        <w:rPr>
          <w:rFonts w:ascii="FrankRuehl" w:hAnsi="FrankRuehl" w:cs="FrankRuehl" w:hint="cs"/>
          <w:color w:val="000000"/>
          <w:sz w:val="28"/>
          <w:szCs w:val="28"/>
          <w:rtl/>
        </w:rPr>
        <w:t xml:space="preserve"> הושת על </w:t>
      </w:r>
      <w:r w:rsidR="00F862B6" w:rsidRPr="00377936">
        <w:rPr>
          <w:rFonts w:ascii="FrankRuehl" w:hAnsi="FrankRuehl" w:cs="FrankRuehl"/>
          <w:color w:val="000000"/>
          <w:sz w:val="28"/>
          <w:szCs w:val="28"/>
          <w:rtl/>
        </w:rPr>
        <w:t xml:space="preserve">אהוד אולמרט </w:t>
      </w:r>
      <w:r w:rsidRPr="00377936">
        <w:rPr>
          <w:rFonts w:ascii="FrankRuehl" w:hAnsi="FrankRuehl" w:cs="FrankRuehl" w:hint="cs"/>
          <w:color w:val="000000"/>
          <w:sz w:val="28"/>
          <w:szCs w:val="28"/>
          <w:rtl/>
        </w:rPr>
        <w:t>ש</w:t>
      </w:r>
      <w:r w:rsidR="00F862B6" w:rsidRPr="00377936">
        <w:rPr>
          <w:rFonts w:ascii="FrankRuehl" w:hAnsi="FrankRuehl" w:cs="FrankRuehl"/>
          <w:color w:val="000000"/>
          <w:sz w:val="28"/>
          <w:szCs w:val="28"/>
          <w:rtl/>
        </w:rPr>
        <w:t>הורשע בעבירה של שוחד במסגרת תפקידו כשר התמ"ת</w:t>
      </w:r>
      <w:r w:rsidRPr="00377936">
        <w:rPr>
          <w:rFonts w:ascii="FrankRuehl" w:hAnsi="FrankRuehl" w:cs="FrankRuehl" w:hint="cs"/>
          <w:color w:val="000000"/>
          <w:sz w:val="28"/>
          <w:szCs w:val="28"/>
          <w:rtl/>
        </w:rPr>
        <w:t xml:space="preserve">, </w:t>
      </w:r>
      <w:r w:rsidRPr="00377936">
        <w:rPr>
          <w:rFonts w:ascii="FrankRuehl" w:hAnsi="FrankRuehl" w:cs="FrankRuehl"/>
          <w:color w:val="000000"/>
          <w:sz w:val="28"/>
          <w:szCs w:val="28"/>
          <w:rtl/>
        </w:rPr>
        <w:t>עונ</w:t>
      </w:r>
      <w:r w:rsidRPr="00377936">
        <w:rPr>
          <w:rFonts w:ascii="FrankRuehl" w:hAnsi="FrankRuehl" w:cs="FrankRuehl" w:hint="cs"/>
          <w:color w:val="000000"/>
          <w:sz w:val="28"/>
          <w:szCs w:val="28"/>
          <w:rtl/>
        </w:rPr>
        <w:t xml:space="preserve">ש של </w:t>
      </w:r>
      <w:r w:rsidRPr="00377936">
        <w:rPr>
          <w:rFonts w:ascii="FrankRuehl" w:hAnsi="FrankRuehl" w:cs="FrankRuehl"/>
          <w:color w:val="000000"/>
          <w:sz w:val="28"/>
          <w:szCs w:val="28"/>
          <w:rtl/>
        </w:rPr>
        <w:t xml:space="preserve">18 חודשי מאסר בפועל, מאסר על תנאי וקנס בסך של 200,000 ₪. </w:t>
      </w:r>
      <w:r w:rsidRPr="00377936">
        <w:rPr>
          <w:rFonts w:ascii="FrankRuehl" w:hAnsi="FrankRuehl" w:cs="FrankRuehl" w:hint="cs"/>
          <w:color w:val="000000"/>
          <w:sz w:val="28"/>
          <w:szCs w:val="28"/>
          <w:rtl/>
        </w:rPr>
        <w:t xml:space="preserve">באותו עניין נתקבל שוחד בסך של </w:t>
      </w:r>
      <w:r w:rsidR="00F862B6" w:rsidRPr="00377936">
        <w:rPr>
          <w:rFonts w:ascii="FrankRuehl" w:hAnsi="FrankRuehl" w:cs="FrankRuehl"/>
          <w:color w:val="000000"/>
          <w:sz w:val="28"/>
          <w:szCs w:val="28"/>
          <w:rtl/>
        </w:rPr>
        <w:t xml:space="preserve">60,000 ₪ ממר שמואל דכנר לטובת כיסוי גירעונות בחירות בתמורה לקידום ענייניה של חברה בתחום הנדל"ן. </w:t>
      </w:r>
    </w:p>
    <w:p w:rsidR="00152E5C" w:rsidRDefault="00152E5C" w:rsidP="00377936">
      <w:pPr>
        <w:pStyle w:val="af"/>
        <w:numPr>
          <w:ilvl w:val="0"/>
          <w:numId w:val="6"/>
        </w:numPr>
        <w:spacing w:line="360" w:lineRule="auto"/>
        <w:jc w:val="both"/>
        <w:rPr>
          <w:rFonts w:ascii="FrankRuehl" w:hAnsi="FrankRuehl" w:cs="FrankRuehl"/>
          <w:color w:val="000000"/>
          <w:sz w:val="28"/>
          <w:szCs w:val="28"/>
        </w:rPr>
      </w:pPr>
      <w:r w:rsidRPr="00377936">
        <w:rPr>
          <w:rFonts w:ascii="FrankRuehl" w:hAnsi="FrankRuehl" w:cs="FrankRuehl" w:hint="cs"/>
          <w:color w:val="000000"/>
          <w:sz w:val="28"/>
          <w:szCs w:val="28"/>
          <w:rtl/>
        </w:rPr>
        <w:t>בע"פ 6412/13</w:t>
      </w:r>
      <w:r w:rsidR="00F862B6" w:rsidRPr="00377936">
        <w:rPr>
          <w:rFonts w:ascii="FrankRuehl" w:hAnsi="FrankRuehl" w:cs="FrankRuehl"/>
          <w:color w:val="000000"/>
          <w:sz w:val="28"/>
          <w:szCs w:val="28"/>
          <w:rtl/>
        </w:rPr>
        <w:t> </w:t>
      </w:r>
      <w:r w:rsidR="00F862B6" w:rsidRPr="00377936">
        <w:rPr>
          <w:rFonts w:ascii="FrankRuehl" w:hAnsi="FrankRuehl" w:cs="FrankRuehl"/>
          <w:b/>
          <w:bCs/>
          <w:color w:val="000000"/>
          <w:sz w:val="28"/>
          <w:szCs w:val="28"/>
          <w:rtl/>
        </w:rPr>
        <w:t>שאטו נ' מדינת ישראל</w:t>
      </w:r>
      <w:r w:rsidR="00F862B6" w:rsidRPr="00377936">
        <w:rPr>
          <w:rFonts w:ascii="FrankRuehl" w:hAnsi="FrankRuehl" w:cs="FrankRuehl"/>
          <w:color w:val="000000"/>
          <w:sz w:val="28"/>
          <w:szCs w:val="28"/>
          <w:rtl/>
        </w:rPr>
        <w:t> (20.</w:t>
      </w:r>
      <w:r w:rsidRPr="00377936">
        <w:rPr>
          <w:rFonts w:ascii="FrankRuehl" w:hAnsi="FrankRuehl" w:cs="FrankRuehl" w:hint="cs"/>
          <w:color w:val="000000"/>
          <w:sz w:val="28"/>
          <w:szCs w:val="28"/>
          <w:rtl/>
        </w:rPr>
        <w:t>0</w:t>
      </w:r>
      <w:r w:rsidR="00F862B6" w:rsidRPr="00377936">
        <w:rPr>
          <w:rFonts w:ascii="FrankRuehl" w:hAnsi="FrankRuehl" w:cs="FrankRuehl"/>
          <w:color w:val="000000"/>
          <w:sz w:val="28"/>
          <w:szCs w:val="28"/>
          <w:rtl/>
        </w:rPr>
        <w:t>1.14)</w:t>
      </w:r>
      <w:r w:rsidRPr="00377936">
        <w:rPr>
          <w:rFonts w:ascii="FrankRuehl" w:hAnsi="FrankRuehl" w:cs="FrankRuehl" w:hint="cs"/>
          <w:color w:val="000000"/>
          <w:sz w:val="28"/>
          <w:szCs w:val="28"/>
          <w:rtl/>
        </w:rPr>
        <w:t xml:space="preserve"> הורשע נאשם </w:t>
      </w:r>
      <w:r w:rsidR="00F862B6" w:rsidRPr="00377936">
        <w:rPr>
          <w:rFonts w:ascii="FrankRuehl" w:hAnsi="FrankRuehl" w:cs="FrankRuehl"/>
          <w:color w:val="000000"/>
          <w:sz w:val="28"/>
          <w:szCs w:val="28"/>
          <w:rtl/>
        </w:rPr>
        <w:t xml:space="preserve">בשלוש עבירות של קשירת קשר לפשע ובשלוש עבירות של לקיחת שוחד. </w:t>
      </w:r>
      <w:r w:rsidRPr="00377936">
        <w:rPr>
          <w:rFonts w:ascii="FrankRuehl" w:hAnsi="FrankRuehl" w:cs="FrankRuehl" w:hint="cs"/>
          <w:color w:val="000000"/>
          <w:sz w:val="28"/>
          <w:szCs w:val="28"/>
          <w:rtl/>
        </w:rPr>
        <w:t>מדובר היה בנאשם ש</w:t>
      </w:r>
      <w:r w:rsidR="00F862B6" w:rsidRPr="00377936">
        <w:rPr>
          <w:rFonts w:ascii="FrankRuehl" w:hAnsi="FrankRuehl" w:cs="FrankRuehl"/>
          <w:color w:val="000000"/>
          <w:sz w:val="28"/>
          <w:szCs w:val="28"/>
          <w:rtl/>
        </w:rPr>
        <w:t>במסגרת תפקידו ברשות ההגירה, קשר קשר עם אחר לשם הנפקת אשרות שהייה לנתינים זרים בתמורה לתשלום. המערער הנפיק לנתינים זרים אשרות שהייה זמניות על אף שלא זוהו כדבעי בתמורה ל-20,000 ₪. על הנאשם הוטלו 13 חודשי מאסר בפועל</w:t>
      </w:r>
      <w:r w:rsidRPr="00377936">
        <w:rPr>
          <w:rFonts w:ascii="FrankRuehl" w:hAnsi="FrankRuehl" w:cs="FrankRuehl" w:hint="cs"/>
          <w:color w:val="000000"/>
          <w:sz w:val="28"/>
          <w:szCs w:val="28"/>
          <w:rtl/>
        </w:rPr>
        <w:t>.</w:t>
      </w:r>
    </w:p>
    <w:p w:rsidR="00F862B6" w:rsidRDefault="00377936" w:rsidP="00377936">
      <w:pPr>
        <w:pStyle w:val="af"/>
        <w:numPr>
          <w:ilvl w:val="0"/>
          <w:numId w:val="6"/>
        </w:numPr>
        <w:spacing w:line="360" w:lineRule="auto"/>
        <w:jc w:val="both"/>
        <w:rPr>
          <w:rFonts w:ascii="FrankRuehl" w:hAnsi="FrankRuehl" w:cs="FrankRuehl"/>
          <w:color w:val="000000"/>
          <w:sz w:val="28"/>
          <w:szCs w:val="28"/>
        </w:rPr>
      </w:pPr>
      <w:r w:rsidRPr="00377936">
        <w:rPr>
          <w:rFonts w:ascii="FrankRuehl" w:hAnsi="FrankRuehl" w:cs="FrankRuehl" w:hint="cs"/>
          <w:color w:val="000000"/>
          <w:sz w:val="28"/>
          <w:szCs w:val="28"/>
          <w:rtl/>
        </w:rPr>
        <w:t>בת"פ (מחוזי-מרכז) 45411-09-19</w:t>
      </w:r>
      <w:r w:rsidR="00F862B6" w:rsidRPr="00377936">
        <w:rPr>
          <w:rFonts w:ascii="FrankRuehl" w:hAnsi="FrankRuehl" w:cs="FrankRuehl"/>
          <w:color w:val="000000"/>
          <w:sz w:val="28"/>
          <w:szCs w:val="28"/>
          <w:rtl/>
        </w:rPr>
        <w:t> </w:t>
      </w:r>
      <w:r w:rsidR="00F862B6" w:rsidRPr="00377936">
        <w:rPr>
          <w:rFonts w:ascii="FrankRuehl" w:hAnsi="FrankRuehl" w:cs="FrankRuehl"/>
          <w:b/>
          <w:bCs/>
          <w:color w:val="000000"/>
          <w:sz w:val="28"/>
          <w:szCs w:val="28"/>
          <w:rtl/>
        </w:rPr>
        <w:t>מדינת ישראל נ' פונק</w:t>
      </w:r>
      <w:r w:rsidR="00F862B6" w:rsidRPr="00377936">
        <w:rPr>
          <w:rFonts w:ascii="FrankRuehl" w:hAnsi="FrankRuehl" w:cs="FrankRuehl"/>
          <w:color w:val="000000"/>
          <w:sz w:val="28"/>
          <w:szCs w:val="28"/>
          <w:rtl/>
        </w:rPr>
        <w:t> </w:t>
      </w:r>
      <w:r>
        <w:rPr>
          <w:rFonts w:ascii="FrankRuehl" w:hAnsi="FrankRuehl" w:cs="FrankRuehl"/>
          <w:color w:val="000000"/>
          <w:sz w:val="28"/>
          <w:szCs w:val="28"/>
          <w:rtl/>
        </w:rPr>
        <w:t>(9.12.19)</w:t>
      </w:r>
      <w:r>
        <w:rPr>
          <w:rFonts w:ascii="FrankRuehl" w:hAnsi="FrankRuehl" w:cs="FrankRuehl" w:hint="cs"/>
          <w:color w:val="000000"/>
          <w:sz w:val="28"/>
          <w:szCs w:val="28"/>
          <w:rtl/>
        </w:rPr>
        <w:t>,</w:t>
      </w:r>
      <w:r w:rsidR="00F862B6" w:rsidRPr="00377936">
        <w:rPr>
          <w:rFonts w:ascii="FrankRuehl" w:hAnsi="FrankRuehl" w:cs="FrankRuehl"/>
          <w:color w:val="000000"/>
          <w:sz w:val="28"/>
          <w:szCs w:val="28"/>
          <w:rtl/>
        </w:rPr>
        <w:t xml:space="preserve"> </w:t>
      </w:r>
      <w:r w:rsidR="00052819">
        <w:rPr>
          <w:rFonts w:ascii="FrankRuehl" w:hAnsi="FrankRuehl" w:cs="FrankRuehl" w:hint="cs"/>
          <w:color w:val="000000"/>
          <w:sz w:val="28"/>
          <w:szCs w:val="28"/>
          <w:rtl/>
        </w:rPr>
        <w:t xml:space="preserve">אליו הפנו ב"כ הנאשם, </w:t>
      </w:r>
      <w:r w:rsidR="00F862B6" w:rsidRPr="00377936">
        <w:rPr>
          <w:rFonts w:ascii="FrankRuehl" w:hAnsi="FrankRuehl" w:cs="FrankRuehl"/>
          <w:color w:val="000000"/>
          <w:sz w:val="28"/>
          <w:szCs w:val="28"/>
          <w:rtl/>
        </w:rPr>
        <w:t>הנאשם הורשע על פי הודאתו בעבירות של לקיחת שוחד וסיוע להלבנת הון שביצע בעת ששימש כמרכז תחום עבודות חשמל במשרד הבינוי ואישר חשבוניות בסכומים גבוהים שאינם תואמים עבודות שביצעו קבלנים</w:t>
      </w:r>
      <w:r w:rsidR="00152E5C" w:rsidRPr="00377936">
        <w:rPr>
          <w:rFonts w:ascii="FrankRuehl" w:hAnsi="FrankRuehl" w:cs="FrankRuehl" w:hint="cs"/>
          <w:color w:val="000000"/>
          <w:sz w:val="28"/>
          <w:szCs w:val="28"/>
          <w:rtl/>
        </w:rPr>
        <w:t xml:space="preserve"> </w:t>
      </w:r>
      <w:r w:rsidR="00F862B6" w:rsidRPr="00377936">
        <w:rPr>
          <w:rFonts w:ascii="FrankRuehl" w:hAnsi="FrankRuehl" w:cs="FrankRuehl"/>
          <w:color w:val="000000"/>
          <w:sz w:val="28"/>
          <w:szCs w:val="28"/>
          <w:rtl/>
        </w:rPr>
        <w:t>בתמורה לסכום כולל של 20,000 ₪. על הנאשם הושתו 9 חודשי מאסר שירוצו בעבודות שירות, מאסר על תנאי וחילוט בסך של 150,000 ₪.</w:t>
      </w:r>
    </w:p>
    <w:p w:rsidR="00F862B6" w:rsidRPr="00377936" w:rsidRDefault="00377936" w:rsidP="00377936">
      <w:pPr>
        <w:pStyle w:val="af"/>
        <w:numPr>
          <w:ilvl w:val="0"/>
          <w:numId w:val="6"/>
        </w:numPr>
        <w:spacing w:line="360" w:lineRule="auto"/>
        <w:jc w:val="both"/>
        <w:rPr>
          <w:rFonts w:ascii="FrankRuehl" w:hAnsi="FrankRuehl" w:cs="FrankRuehl"/>
          <w:color w:val="000000"/>
          <w:sz w:val="28"/>
          <w:szCs w:val="28"/>
          <w:rtl/>
        </w:rPr>
      </w:pPr>
      <w:r w:rsidRPr="00377936">
        <w:rPr>
          <w:rFonts w:ascii="FrankRuehl" w:hAnsi="FrankRuehl" w:cs="FrankRuehl" w:hint="cs"/>
          <w:color w:val="000000"/>
          <w:sz w:val="28"/>
          <w:szCs w:val="28"/>
          <w:rtl/>
        </w:rPr>
        <w:t>בת"פ (מחוזי-מרכז) 6308-06-15</w:t>
      </w:r>
      <w:r w:rsidR="00F862B6" w:rsidRPr="00377936">
        <w:rPr>
          <w:rFonts w:ascii="FrankRuehl" w:hAnsi="FrankRuehl" w:cs="FrankRuehl"/>
          <w:color w:val="000000"/>
          <w:sz w:val="28"/>
          <w:szCs w:val="28"/>
          <w:rtl/>
        </w:rPr>
        <w:t> </w:t>
      </w:r>
      <w:r w:rsidR="00F862B6" w:rsidRPr="00377936">
        <w:rPr>
          <w:rFonts w:ascii="FrankRuehl" w:hAnsi="FrankRuehl" w:cs="FrankRuehl"/>
          <w:b/>
          <w:bCs/>
          <w:color w:val="000000"/>
          <w:sz w:val="28"/>
          <w:szCs w:val="28"/>
          <w:rtl/>
        </w:rPr>
        <w:t>מדינת ישראל נ' זילכה</w:t>
      </w:r>
      <w:r w:rsidR="00F862B6" w:rsidRPr="00377936">
        <w:rPr>
          <w:rFonts w:ascii="FrankRuehl" w:hAnsi="FrankRuehl" w:cs="FrankRuehl"/>
          <w:color w:val="000000"/>
          <w:sz w:val="28"/>
          <w:szCs w:val="28"/>
          <w:rtl/>
        </w:rPr>
        <w:t> (15.12.15)</w:t>
      </w:r>
      <w:r>
        <w:rPr>
          <w:rFonts w:ascii="FrankRuehl" w:hAnsi="FrankRuehl" w:cs="FrankRuehl" w:hint="cs"/>
          <w:color w:val="000000"/>
          <w:sz w:val="28"/>
          <w:szCs w:val="28"/>
          <w:rtl/>
        </w:rPr>
        <w:t xml:space="preserve">, </w:t>
      </w:r>
      <w:r w:rsidR="00F862B6" w:rsidRPr="00377936">
        <w:rPr>
          <w:rFonts w:ascii="FrankRuehl" w:hAnsi="FrankRuehl" w:cs="FrankRuehl"/>
          <w:color w:val="000000"/>
          <w:sz w:val="28"/>
          <w:szCs w:val="28"/>
          <w:rtl/>
        </w:rPr>
        <w:t xml:space="preserve">הנאשם הורשע על פי הודאתו בשתי עבירות של לקיחת שוחד ובעבירה של מרמה והפרת אמונים. על פי המתואר, בעת ששימש הנאשם בתפקיד ראש תחום חקירות במוסד לביטוח לאומי ומזכיר </w:t>
      </w:r>
      <w:r w:rsidR="00F862B6" w:rsidRPr="00377936">
        <w:rPr>
          <w:rFonts w:ascii="FrankRuehl" w:hAnsi="FrankRuehl" w:cs="FrankRuehl"/>
          <w:color w:val="000000"/>
          <w:sz w:val="28"/>
          <w:szCs w:val="28"/>
          <w:rtl/>
        </w:rPr>
        <w:lastRenderedPageBreak/>
        <w:t>ישיבות ועדת ערר בענייני תביעות עבודה סייע הנאשם לקידום עניינם של תובעים בתמורה לסכומי כסף המגיעים כדי כ- 9,000 ₪. מתחם העונש ההולם נקבע בין</w:t>
      </w:r>
      <w:r>
        <w:rPr>
          <w:rFonts w:ascii="FrankRuehl" w:hAnsi="FrankRuehl" w:cs="FrankRuehl" w:hint="cs"/>
          <w:color w:val="000000"/>
          <w:sz w:val="28"/>
          <w:szCs w:val="28"/>
          <w:rtl/>
        </w:rPr>
        <w:t xml:space="preserve"> 6 ל-20 </w:t>
      </w:r>
      <w:r w:rsidR="00F862B6" w:rsidRPr="00377936">
        <w:rPr>
          <w:rFonts w:ascii="FrankRuehl" w:hAnsi="FrankRuehl" w:cs="FrankRuehl"/>
          <w:color w:val="000000"/>
          <w:sz w:val="28"/>
          <w:szCs w:val="28"/>
          <w:rtl/>
        </w:rPr>
        <w:t>חודשי מאסר. על הנאשם הושתו 6 חודשי מאסר בפועל שירוצו בעבודות שירות, מאסר על תנאי וקנס בסך של 20,000 ₪.</w:t>
      </w:r>
    </w:p>
    <w:p w:rsidR="00852F6B" w:rsidRDefault="00275FC4" w:rsidP="00852F6B">
      <w:pPr>
        <w:pStyle w:val="af"/>
        <w:numPr>
          <w:ilvl w:val="0"/>
          <w:numId w:val="6"/>
        </w:numPr>
        <w:spacing w:line="360" w:lineRule="auto"/>
        <w:jc w:val="both"/>
        <w:rPr>
          <w:rFonts w:ascii="FrankRuehl" w:hAnsi="FrankRuehl" w:cs="FrankRuehl"/>
          <w:color w:val="000000"/>
          <w:sz w:val="28"/>
          <w:szCs w:val="28"/>
        </w:rPr>
      </w:pPr>
      <w:r w:rsidRPr="00852F6B">
        <w:rPr>
          <w:rFonts w:ascii="FrankRuehl" w:hAnsi="FrankRuehl" w:cs="FrankRuehl" w:hint="cs"/>
          <w:color w:val="000000"/>
          <w:sz w:val="28"/>
          <w:szCs w:val="28"/>
          <w:rtl/>
        </w:rPr>
        <w:t xml:space="preserve">בע"פ 3927/16 </w:t>
      </w:r>
      <w:r w:rsidRPr="00852F6B">
        <w:rPr>
          <w:rFonts w:ascii="FrankRuehl" w:hAnsi="FrankRuehl" w:cs="FrankRuehl" w:hint="cs"/>
          <w:b/>
          <w:bCs/>
          <w:color w:val="000000"/>
          <w:sz w:val="28"/>
          <w:szCs w:val="28"/>
          <w:rtl/>
        </w:rPr>
        <w:t>מדינת ישראל נ' בר-זיו</w:t>
      </w:r>
      <w:r w:rsidRPr="00852F6B">
        <w:rPr>
          <w:rFonts w:ascii="FrankRuehl" w:hAnsi="FrankRuehl" w:cs="FrankRuehl" w:hint="cs"/>
          <w:color w:val="000000"/>
          <w:sz w:val="28"/>
          <w:szCs w:val="28"/>
          <w:rtl/>
        </w:rPr>
        <w:t xml:space="preserve"> (</w:t>
      </w:r>
      <w:r w:rsidR="008F540C" w:rsidRPr="00852F6B">
        <w:rPr>
          <w:rFonts w:ascii="FrankRuehl" w:hAnsi="FrankRuehl" w:cs="FrankRuehl" w:hint="cs"/>
          <w:color w:val="000000"/>
          <w:sz w:val="28"/>
          <w:szCs w:val="28"/>
          <w:rtl/>
        </w:rPr>
        <w:t>23.02.17</w:t>
      </w:r>
      <w:r w:rsidRPr="00852F6B">
        <w:rPr>
          <w:rFonts w:ascii="FrankRuehl" w:hAnsi="FrankRuehl" w:cs="FrankRuehl" w:hint="cs"/>
          <w:color w:val="000000"/>
          <w:sz w:val="28"/>
          <w:szCs w:val="28"/>
          <w:rtl/>
        </w:rPr>
        <w:t xml:space="preserve">) נידון עניינו של נאשם שהושת עליו עונש מאסר לתקופה של 6 </w:t>
      </w:r>
      <w:r w:rsidRPr="00852F6B">
        <w:rPr>
          <w:rFonts w:ascii="FrankRuehl" w:hAnsi="FrankRuehl" w:cs="FrankRuehl"/>
          <w:color w:val="000000"/>
          <w:sz w:val="28"/>
          <w:szCs w:val="28"/>
          <w:rtl/>
        </w:rPr>
        <w:t>חודשי</w:t>
      </w:r>
      <w:r w:rsidRPr="00852F6B">
        <w:rPr>
          <w:rFonts w:ascii="FrankRuehl" w:hAnsi="FrankRuehl" w:cs="FrankRuehl" w:hint="cs"/>
          <w:color w:val="000000"/>
          <w:sz w:val="28"/>
          <w:szCs w:val="28"/>
          <w:rtl/>
        </w:rPr>
        <w:t>ם לריצוי ב</w:t>
      </w:r>
      <w:r w:rsidRPr="00852F6B">
        <w:rPr>
          <w:rFonts w:ascii="FrankRuehl" w:hAnsi="FrankRuehl" w:cs="FrankRuehl"/>
          <w:color w:val="000000"/>
          <w:sz w:val="28"/>
          <w:szCs w:val="28"/>
          <w:rtl/>
        </w:rPr>
        <w:t>עבודות שירות</w:t>
      </w:r>
      <w:r w:rsidRPr="00852F6B">
        <w:rPr>
          <w:rFonts w:ascii="FrankRuehl" w:hAnsi="FrankRuehl" w:cs="FrankRuehl" w:hint="cs"/>
          <w:color w:val="000000"/>
          <w:sz w:val="28"/>
          <w:szCs w:val="28"/>
          <w:rtl/>
        </w:rPr>
        <w:t xml:space="preserve">, </w:t>
      </w:r>
      <w:r w:rsidRPr="00852F6B">
        <w:rPr>
          <w:rFonts w:ascii="FrankRuehl" w:hAnsi="FrankRuehl" w:cs="FrankRuehl"/>
          <w:color w:val="000000"/>
          <w:sz w:val="28"/>
          <w:szCs w:val="28"/>
          <w:rtl/>
        </w:rPr>
        <w:t>בגין הרשעתו בביצוע 3 עבירות של קבלת שוחד על ידי עובד ציבור, 3 עבירות של מרמה והפרת אמונים, 3 עבירות של קשירת קשר לפשע ועבירה של הכנסת ציוד קצה רט"ן לבית הסוהר.</w:t>
      </w:r>
      <w:r w:rsidRPr="00852F6B">
        <w:rPr>
          <w:rFonts w:ascii="FrankRuehl" w:hAnsi="FrankRuehl" w:cs="FrankRuehl" w:hint="cs"/>
          <w:color w:val="000000"/>
          <w:sz w:val="28"/>
          <w:szCs w:val="28"/>
          <w:rtl/>
        </w:rPr>
        <w:t xml:space="preserve"> הנאשם שירת </w:t>
      </w:r>
      <w:r w:rsidRPr="00852F6B">
        <w:rPr>
          <w:rFonts w:ascii="FrankRuehl" w:hAnsi="FrankRuehl" w:cs="FrankRuehl"/>
          <w:color w:val="000000"/>
          <w:sz w:val="28"/>
          <w:szCs w:val="28"/>
          <w:rtl/>
        </w:rPr>
        <w:t>כסוהר בבית הסוהר "אשל"</w:t>
      </w:r>
      <w:r w:rsidRPr="00852F6B">
        <w:rPr>
          <w:rFonts w:ascii="FrankRuehl" w:hAnsi="FrankRuehl" w:cs="FrankRuehl" w:hint="cs"/>
          <w:color w:val="000000"/>
          <w:sz w:val="28"/>
          <w:szCs w:val="28"/>
          <w:rtl/>
        </w:rPr>
        <w:t xml:space="preserve">, ובתמורה לסכומים של 600-400 שקלים כל פעם, החדיר עבור אחד האסירים </w:t>
      </w:r>
      <w:r w:rsidRPr="00852F6B">
        <w:rPr>
          <w:rFonts w:ascii="FrankRuehl" w:hAnsi="FrankRuehl" w:cs="FrankRuehl"/>
          <w:color w:val="000000"/>
          <w:sz w:val="28"/>
          <w:szCs w:val="28"/>
          <w:rtl/>
        </w:rPr>
        <w:t xml:space="preserve">חפצים שונים לתוך בית הסוהר. </w:t>
      </w:r>
      <w:r w:rsidRPr="00852F6B">
        <w:rPr>
          <w:rFonts w:ascii="FrankRuehl" w:hAnsi="FrankRuehl" w:cs="FrankRuehl" w:hint="cs"/>
          <w:color w:val="000000"/>
          <w:sz w:val="28"/>
          <w:szCs w:val="28"/>
          <w:rtl/>
        </w:rPr>
        <w:t xml:space="preserve">כך נהג גם עם אסיר נוסף, לו הוא הכניס </w:t>
      </w:r>
      <w:r w:rsidRPr="00852F6B">
        <w:rPr>
          <w:rFonts w:ascii="FrankRuehl" w:hAnsi="FrankRuehl" w:cs="FrankRuehl"/>
          <w:color w:val="000000"/>
          <w:sz w:val="28"/>
          <w:szCs w:val="28"/>
          <w:rtl/>
        </w:rPr>
        <w:t>משקה אלכוהולי ותחליף סם מסוג "סבוטקס" בצורת כדורים,</w:t>
      </w:r>
      <w:r w:rsidRPr="00852F6B">
        <w:rPr>
          <w:rFonts w:ascii="FrankRuehl" w:hAnsi="FrankRuehl" w:cs="FrankRuehl" w:hint="cs"/>
          <w:color w:val="000000"/>
          <w:sz w:val="28"/>
          <w:szCs w:val="28"/>
          <w:rtl/>
        </w:rPr>
        <w:t xml:space="preserve"> תמורת 2,000 ₪. וכל נהג גם עם אסיר נוסף, עבורו הכניס גם מכשיר טלפון סלולרי וקיבל אלפי שקלים בכל פעם.</w:t>
      </w:r>
      <w:r w:rsidR="007C6DDA" w:rsidRPr="00852F6B">
        <w:rPr>
          <w:rFonts w:ascii="FrankRuehl" w:hAnsi="FrankRuehl" w:cs="FrankRuehl" w:hint="cs"/>
          <w:color w:val="000000"/>
          <w:sz w:val="28"/>
          <w:szCs w:val="28"/>
          <w:rtl/>
        </w:rPr>
        <w:t xml:space="preserve"> בית המשפט המחוזי קבע באותו מקרה מתחם עונש הולם הנע מ-9 ועד 18 חודשים מאסר וסטה ממנו לקולא, וגזר על הנאשם, כאמור, 6 חודשי מאסר בעבודות שירות.</w:t>
      </w:r>
      <w:r w:rsidR="008F540C" w:rsidRPr="00852F6B">
        <w:rPr>
          <w:rFonts w:ascii="FrankRuehl" w:hAnsi="FrankRuehl" w:cs="FrankRuehl" w:hint="cs"/>
          <w:color w:val="000000"/>
          <w:sz w:val="28"/>
          <w:szCs w:val="28"/>
          <w:rtl/>
        </w:rPr>
        <w:t xml:space="preserve"> בית המשפט העליון קיבל את ערעור המדינה על קולת העונש והשית על הנאשם 12 חודשי מאסר בפועל. </w:t>
      </w:r>
      <w:r w:rsidR="007C6DDA" w:rsidRPr="00852F6B">
        <w:rPr>
          <w:rFonts w:ascii="FrankRuehl" w:hAnsi="FrankRuehl" w:cs="FrankRuehl" w:hint="cs"/>
          <w:color w:val="000000"/>
          <w:sz w:val="28"/>
          <w:szCs w:val="28"/>
          <w:rtl/>
        </w:rPr>
        <w:t xml:space="preserve">  </w:t>
      </w:r>
      <w:r w:rsidRPr="00852F6B">
        <w:rPr>
          <w:rFonts w:ascii="FrankRuehl" w:hAnsi="FrankRuehl" w:cs="FrankRuehl" w:hint="cs"/>
          <w:color w:val="000000"/>
          <w:sz w:val="28"/>
          <w:szCs w:val="28"/>
          <w:rtl/>
        </w:rPr>
        <w:t xml:space="preserve">  </w:t>
      </w:r>
    </w:p>
    <w:p w:rsidR="00275FC4" w:rsidRPr="00852F6B" w:rsidRDefault="00052819" w:rsidP="00852F6B">
      <w:pPr>
        <w:pStyle w:val="af"/>
        <w:spacing w:line="360" w:lineRule="auto"/>
        <w:jc w:val="both"/>
        <w:rPr>
          <w:rFonts w:ascii="FrankRuehl" w:hAnsi="FrankRuehl" w:cs="FrankRuehl"/>
          <w:color w:val="000000"/>
          <w:sz w:val="28"/>
          <w:szCs w:val="28"/>
          <w:rtl/>
        </w:rPr>
      </w:pPr>
      <w:r w:rsidRPr="00852F6B">
        <w:rPr>
          <w:rFonts w:ascii="FrankRuehl" w:hAnsi="FrankRuehl" w:cs="FrankRuehl" w:hint="cs"/>
          <w:color w:val="000000"/>
          <w:sz w:val="28"/>
          <w:szCs w:val="28"/>
          <w:rtl/>
        </w:rPr>
        <w:t xml:space="preserve">יש לשים לב, כי </w:t>
      </w:r>
      <w:r w:rsidR="00E84135" w:rsidRPr="00852F6B">
        <w:rPr>
          <w:rFonts w:ascii="FrankRuehl" w:hAnsi="FrankRuehl" w:cs="FrankRuehl" w:hint="cs"/>
          <w:color w:val="000000"/>
          <w:sz w:val="28"/>
          <w:szCs w:val="28"/>
          <w:rtl/>
        </w:rPr>
        <w:t>מדובר ב</w:t>
      </w:r>
      <w:r w:rsidR="00275FC4" w:rsidRPr="00852F6B">
        <w:rPr>
          <w:rFonts w:ascii="FrankRuehl" w:hAnsi="FrankRuehl" w:cs="FrankRuehl"/>
          <w:color w:val="000000"/>
          <w:sz w:val="28"/>
          <w:szCs w:val="28"/>
          <w:rtl/>
        </w:rPr>
        <w:t xml:space="preserve">סוהר שמעל באופן בוטה ביותר באמון שניתן בו, </w:t>
      </w:r>
      <w:r w:rsidR="00E84135" w:rsidRPr="00852F6B">
        <w:rPr>
          <w:rFonts w:ascii="FrankRuehl" w:hAnsi="FrankRuehl" w:cs="FrankRuehl" w:hint="cs"/>
          <w:color w:val="000000"/>
          <w:sz w:val="28"/>
          <w:szCs w:val="28"/>
          <w:rtl/>
        </w:rPr>
        <w:t xml:space="preserve">במעשים שהתפרסו על </w:t>
      </w:r>
      <w:r w:rsidR="00275FC4" w:rsidRPr="00852F6B">
        <w:rPr>
          <w:rFonts w:ascii="FrankRuehl" w:hAnsi="FrankRuehl" w:cs="FrankRuehl"/>
          <w:color w:val="000000"/>
          <w:sz w:val="28"/>
          <w:szCs w:val="28"/>
          <w:rtl/>
        </w:rPr>
        <w:t xml:space="preserve">תקופה </w:t>
      </w:r>
      <w:r w:rsidR="00E84135" w:rsidRPr="00852F6B">
        <w:rPr>
          <w:rFonts w:ascii="FrankRuehl" w:hAnsi="FrankRuehl" w:cs="FrankRuehl" w:hint="cs"/>
          <w:color w:val="000000"/>
          <w:sz w:val="28"/>
          <w:szCs w:val="28"/>
          <w:rtl/>
        </w:rPr>
        <w:t xml:space="preserve">של </w:t>
      </w:r>
      <w:r w:rsidR="00275FC4" w:rsidRPr="00852F6B">
        <w:rPr>
          <w:rFonts w:ascii="FrankRuehl" w:hAnsi="FrankRuehl" w:cs="FrankRuehl"/>
          <w:color w:val="000000"/>
          <w:sz w:val="28"/>
          <w:szCs w:val="28"/>
          <w:rtl/>
        </w:rPr>
        <w:t xml:space="preserve">כשנתיים. </w:t>
      </w:r>
      <w:r w:rsidR="00E84135" w:rsidRPr="00852F6B">
        <w:rPr>
          <w:rFonts w:ascii="FrankRuehl" w:hAnsi="FrankRuehl" w:cs="FrankRuehl" w:hint="cs"/>
          <w:color w:val="000000"/>
          <w:sz w:val="28"/>
          <w:szCs w:val="28"/>
          <w:rtl/>
        </w:rPr>
        <w:t xml:space="preserve">אחד האסירים </w:t>
      </w:r>
      <w:r w:rsidR="00E84135" w:rsidRPr="00852F6B">
        <w:rPr>
          <w:rFonts w:ascii="FrankRuehl" w:hAnsi="FrankRuehl" w:cs="FrankRuehl"/>
          <w:color w:val="000000"/>
          <w:sz w:val="28"/>
          <w:szCs w:val="28"/>
          <w:rtl/>
        </w:rPr>
        <w:t>ש</w:t>
      </w:r>
      <w:r w:rsidR="00275FC4" w:rsidRPr="00852F6B">
        <w:rPr>
          <w:rFonts w:ascii="FrankRuehl" w:hAnsi="FrankRuehl" w:cs="FrankRuehl"/>
          <w:color w:val="000000"/>
          <w:sz w:val="28"/>
          <w:szCs w:val="28"/>
          <w:rtl/>
        </w:rPr>
        <w:t xml:space="preserve">הה באגף סגור, ופוטנציאל הנזק הטמון בחלק מאותם חפצים, ובמיוחד בטלפון הנייד שהוחדר לבית הסוהר - גבוה ביותר. </w:t>
      </w:r>
    </w:p>
    <w:p w:rsidR="008F540C" w:rsidRDefault="008F540C" w:rsidP="00852F6B">
      <w:pPr>
        <w:spacing w:line="360" w:lineRule="auto"/>
        <w:jc w:val="both"/>
        <w:rPr>
          <w:rFonts w:ascii="FrankRuehl" w:hAnsi="FrankRuehl" w:cs="FrankRuehl"/>
          <w:color w:val="000000"/>
          <w:sz w:val="28"/>
          <w:szCs w:val="28"/>
          <w:rtl/>
        </w:rPr>
      </w:pPr>
    </w:p>
    <w:p w:rsidR="002F75B2" w:rsidRDefault="002F75B2" w:rsidP="00072A92">
      <w:pPr>
        <w:spacing w:line="360" w:lineRule="auto"/>
        <w:jc w:val="both"/>
        <w:rPr>
          <w:rFonts w:ascii="FrankRuehl" w:hAnsi="FrankRuehl" w:cs="FrankRuehl"/>
          <w:color w:val="000000"/>
          <w:sz w:val="28"/>
          <w:szCs w:val="28"/>
          <w:rtl/>
        </w:rPr>
      </w:pPr>
      <w:r>
        <w:rPr>
          <w:rFonts w:ascii="FrankRuehl" w:hAnsi="FrankRuehl" w:cs="FrankRuehl" w:hint="cs"/>
          <w:color w:val="000000"/>
          <w:sz w:val="28"/>
          <w:szCs w:val="28"/>
          <w:rtl/>
        </w:rPr>
        <w:t xml:space="preserve">בשים לב לכל האמור, ובפרט לערכים המוגנים שנפגעו ממעשי הנאשם, מידת הפגיעה, נסיבות ביצוע העבירות, ומדיניות </w:t>
      </w:r>
      <w:r w:rsidRPr="003053F2">
        <w:rPr>
          <w:rFonts w:ascii="FrankRuehl" w:hAnsi="FrankRuehl" w:cs="FrankRuehl" w:hint="cs"/>
          <w:sz w:val="28"/>
          <w:szCs w:val="28"/>
          <w:rtl/>
        </w:rPr>
        <w:t>הענישה הנוהגת, אני סבור כי מתחם העונש ה</w:t>
      </w:r>
      <w:r w:rsidR="00072A92">
        <w:rPr>
          <w:rFonts w:ascii="FrankRuehl" w:hAnsi="FrankRuehl" w:cs="FrankRuehl" w:hint="cs"/>
          <w:sz w:val="28"/>
          <w:szCs w:val="28"/>
          <w:rtl/>
        </w:rPr>
        <w:t>ה</w:t>
      </w:r>
      <w:r w:rsidRPr="003053F2">
        <w:rPr>
          <w:rFonts w:ascii="FrankRuehl" w:hAnsi="FrankRuehl" w:cs="FrankRuehl" w:hint="cs"/>
          <w:sz w:val="28"/>
          <w:szCs w:val="28"/>
          <w:rtl/>
        </w:rPr>
        <w:t xml:space="preserve">ולם נע מ-9 חודשי מאסר אשר יכול וירוצו בעבודות שירות ועד 30 חודשי מאסר, לצד </w:t>
      </w:r>
      <w:r>
        <w:rPr>
          <w:rFonts w:ascii="FrankRuehl" w:hAnsi="FrankRuehl" w:cs="FrankRuehl" w:hint="cs"/>
          <w:color w:val="000000"/>
          <w:sz w:val="28"/>
          <w:szCs w:val="28"/>
          <w:rtl/>
        </w:rPr>
        <w:t>מאסר מותנה</w:t>
      </w:r>
      <w:r w:rsidR="00BF5D53">
        <w:rPr>
          <w:rFonts w:ascii="FrankRuehl" w:hAnsi="FrankRuehl" w:cs="FrankRuehl" w:hint="cs"/>
          <w:color w:val="000000"/>
          <w:sz w:val="28"/>
          <w:szCs w:val="28"/>
          <w:rtl/>
        </w:rPr>
        <w:t xml:space="preserve">. </w:t>
      </w:r>
    </w:p>
    <w:p w:rsidR="00E004D0" w:rsidRDefault="00E004D0" w:rsidP="001F5F37">
      <w:pPr>
        <w:spacing w:line="330" w:lineRule="atLeast"/>
        <w:jc w:val="both"/>
        <w:rPr>
          <w:rFonts w:ascii="FrankRuehl" w:hAnsi="FrankRuehl" w:cs="FrankRuehl"/>
          <w:color w:val="000000"/>
          <w:spacing w:val="10"/>
          <w:sz w:val="28"/>
          <w:szCs w:val="28"/>
          <w:rtl/>
        </w:rPr>
      </w:pPr>
      <w:bookmarkStart w:id="1" w:name="Rov1061"/>
      <w:bookmarkStart w:id="2" w:name="Seif582"/>
      <w:bookmarkEnd w:id="1"/>
      <w:bookmarkEnd w:id="2"/>
    </w:p>
    <w:p w:rsidR="00E004D0" w:rsidRDefault="00E004D0" w:rsidP="00BF5D53">
      <w:pPr>
        <w:spacing w:line="440" w:lineRule="atLeast"/>
        <w:ind w:right="1282"/>
        <w:jc w:val="both"/>
        <w:rPr>
          <w:rFonts w:ascii="FrankRuehl" w:hAnsi="FrankRuehl" w:cs="FrankRuehl"/>
          <w:color w:val="000000"/>
          <w:spacing w:val="10"/>
          <w:sz w:val="28"/>
          <w:szCs w:val="28"/>
          <w:rtl/>
        </w:rPr>
      </w:pPr>
    </w:p>
    <w:p w:rsidR="00AA431D" w:rsidRDefault="00F91B51" w:rsidP="001C627A">
      <w:pPr>
        <w:spacing w:line="360" w:lineRule="auto"/>
        <w:jc w:val="both"/>
        <w:rPr>
          <w:rFonts w:ascii="FrankRuehl" w:hAnsi="FrankRuehl" w:cs="FrankRuehl"/>
          <w:sz w:val="28"/>
          <w:szCs w:val="28"/>
          <w:rtl/>
        </w:rPr>
      </w:pPr>
      <w:r w:rsidRPr="001C627A">
        <w:rPr>
          <w:rFonts w:ascii="FrankRuehl" w:hAnsi="FrankRuehl" w:cs="FrankRuehl" w:hint="cs"/>
          <w:sz w:val="28"/>
          <w:szCs w:val="28"/>
          <w:rtl/>
        </w:rPr>
        <w:t>81.</w:t>
      </w:r>
      <w:r w:rsidRPr="001C627A">
        <w:rPr>
          <w:rFonts w:ascii="FrankRuehl" w:hAnsi="FrankRuehl" w:cs="FrankRuehl" w:hint="cs"/>
          <w:sz w:val="28"/>
          <w:szCs w:val="28"/>
          <w:rtl/>
        </w:rPr>
        <w:tab/>
      </w:r>
      <w:r w:rsidR="00BF5D53" w:rsidRPr="001C627A">
        <w:rPr>
          <w:rFonts w:ascii="FrankRuehl" w:hAnsi="FrankRuehl" w:cs="FrankRuehl" w:hint="cs"/>
          <w:sz w:val="28"/>
          <w:szCs w:val="28"/>
          <w:rtl/>
        </w:rPr>
        <w:t>הנאשם, יליד</w:t>
      </w:r>
      <w:r w:rsidR="001C627A" w:rsidRPr="001C627A">
        <w:rPr>
          <w:rFonts w:ascii="FrankRuehl" w:hAnsi="FrankRuehl" w:cs="FrankRuehl" w:hint="cs"/>
          <w:sz w:val="28"/>
          <w:szCs w:val="28"/>
          <w:rtl/>
        </w:rPr>
        <w:t xml:space="preserve"> 1972, </w:t>
      </w:r>
      <w:r w:rsidR="00BF5D53" w:rsidRPr="001C627A">
        <w:rPr>
          <w:rFonts w:ascii="FrankRuehl" w:hAnsi="FrankRuehl" w:cs="FrankRuehl" w:hint="cs"/>
          <w:sz w:val="28"/>
          <w:szCs w:val="28"/>
          <w:rtl/>
        </w:rPr>
        <w:t>כיום בן</w:t>
      </w:r>
      <w:r w:rsidR="001C627A" w:rsidRPr="001C627A">
        <w:rPr>
          <w:rFonts w:ascii="FrankRuehl" w:hAnsi="FrankRuehl" w:cs="FrankRuehl" w:hint="cs"/>
          <w:sz w:val="28"/>
          <w:szCs w:val="28"/>
          <w:rtl/>
        </w:rPr>
        <w:t xml:space="preserve"> 51. </w:t>
      </w:r>
      <w:r w:rsidR="00BF5D53">
        <w:rPr>
          <w:rFonts w:ascii="FrankRuehl" w:hAnsi="FrankRuehl" w:cs="FrankRuehl" w:hint="cs"/>
          <w:sz w:val="28"/>
          <w:szCs w:val="28"/>
          <w:rtl/>
        </w:rPr>
        <w:t xml:space="preserve">הנאשם נעדר עבר פלילי כלשהו, עד לביצוע העבירות בהן הורשע, כמו גם מאז ועד היום. </w:t>
      </w:r>
    </w:p>
    <w:p w:rsidR="00AA431D" w:rsidRDefault="00AA431D" w:rsidP="00AA431D">
      <w:pPr>
        <w:spacing w:line="360" w:lineRule="auto"/>
        <w:jc w:val="both"/>
        <w:rPr>
          <w:rFonts w:ascii="FrankRuehl" w:hAnsi="FrankRuehl" w:cs="FrankRuehl"/>
          <w:sz w:val="28"/>
          <w:szCs w:val="28"/>
          <w:rtl/>
        </w:rPr>
      </w:pPr>
    </w:p>
    <w:p w:rsidR="00AA431D" w:rsidRDefault="00F91B51" w:rsidP="00AA431D">
      <w:pPr>
        <w:spacing w:line="360" w:lineRule="auto"/>
        <w:jc w:val="both"/>
        <w:rPr>
          <w:rFonts w:ascii="FrankRuehl" w:hAnsi="FrankRuehl" w:cs="FrankRuehl"/>
          <w:sz w:val="28"/>
          <w:szCs w:val="28"/>
          <w:rtl/>
        </w:rPr>
      </w:pPr>
      <w:r>
        <w:rPr>
          <w:rFonts w:ascii="FrankRuehl" w:hAnsi="FrankRuehl" w:cs="FrankRuehl" w:hint="cs"/>
          <w:sz w:val="28"/>
          <w:szCs w:val="28"/>
          <w:rtl/>
        </w:rPr>
        <w:lastRenderedPageBreak/>
        <w:t>82.</w:t>
      </w:r>
      <w:r>
        <w:rPr>
          <w:rFonts w:ascii="FrankRuehl" w:hAnsi="FrankRuehl" w:cs="FrankRuehl" w:hint="cs"/>
          <w:sz w:val="28"/>
          <w:szCs w:val="28"/>
          <w:rtl/>
        </w:rPr>
        <w:tab/>
      </w:r>
      <w:r w:rsidR="00BF5D53">
        <w:rPr>
          <w:rFonts w:ascii="FrankRuehl" w:hAnsi="FrankRuehl" w:cs="FrankRuehl" w:hint="cs"/>
          <w:sz w:val="28"/>
          <w:szCs w:val="28"/>
          <w:rtl/>
        </w:rPr>
        <w:t>אכן, ב"כ המאשימה טען כאמור, כי ה</w:t>
      </w:r>
      <w:r w:rsidR="00BF5D53" w:rsidRPr="003852A3">
        <w:rPr>
          <w:rFonts w:ascii="FrankRuehl" w:hAnsi="FrankRuehl" w:cs="FrankRuehl" w:hint="cs"/>
          <w:sz w:val="28"/>
          <w:szCs w:val="28"/>
          <w:rtl/>
        </w:rPr>
        <w:t xml:space="preserve">עובדה </w:t>
      </w:r>
      <w:r w:rsidR="00BF5D53">
        <w:rPr>
          <w:rFonts w:ascii="FrankRuehl" w:hAnsi="FrankRuehl" w:cs="FrankRuehl" w:hint="cs"/>
          <w:sz w:val="28"/>
          <w:szCs w:val="28"/>
          <w:rtl/>
        </w:rPr>
        <w:t>ש</w:t>
      </w:r>
      <w:r w:rsidR="00BF5D53" w:rsidRPr="003852A3">
        <w:rPr>
          <w:rFonts w:ascii="FrankRuehl" w:hAnsi="FrankRuehl" w:cs="FrankRuehl" w:hint="cs"/>
          <w:sz w:val="28"/>
          <w:szCs w:val="28"/>
          <w:rtl/>
        </w:rPr>
        <w:t xml:space="preserve">מדובר במספר מקרים ודפוס פעולה </w:t>
      </w:r>
      <w:r w:rsidR="00BF5D53">
        <w:rPr>
          <w:rFonts w:ascii="FrankRuehl" w:hAnsi="FrankRuehl" w:cs="FrankRuehl" w:hint="cs"/>
          <w:sz w:val="28"/>
          <w:szCs w:val="28"/>
          <w:rtl/>
        </w:rPr>
        <w:t xml:space="preserve">שכלל את הסתרת המעשים מבני משפחתו, יש בהם כדי להצביע על </w:t>
      </w:r>
      <w:r w:rsidR="00BF5D53" w:rsidRPr="003852A3">
        <w:rPr>
          <w:rFonts w:ascii="FrankRuehl" w:hAnsi="FrankRuehl" w:cs="FrankRuehl" w:hint="cs"/>
          <w:sz w:val="28"/>
          <w:szCs w:val="28"/>
          <w:rtl/>
        </w:rPr>
        <w:t>הפן העברייני באישיותו</w:t>
      </w:r>
      <w:r w:rsidR="00BF5D53">
        <w:rPr>
          <w:rFonts w:ascii="FrankRuehl" w:hAnsi="FrankRuehl" w:cs="FrankRuehl" w:hint="cs"/>
          <w:sz w:val="28"/>
          <w:szCs w:val="28"/>
          <w:rtl/>
        </w:rPr>
        <w:t xml:space="preserve"> של הנאשם וכפועל יוצא מכך לתת משקל </w:t>
      </w:r>
      <w:r w:rsidR="00BF5D53" w:rsidRPr="003852A3">
        <w:rPr>
          <w:rFonts w:ascii="FrankRuehl" w:hAnsi="FrankRuehl" w:cs="FrankRuehl" w:hint="cs"/>
          <w:sz w:val="28"/>
          <w:szCs w:val="28"/>
          <w:rtl/>
        </w:rPr>
        <w:t xml:space="preserve">נמוך </w:t>
      </w:r>
      <w:r w:rsidR="00BF5D53">
        <w:rPr>
          <w:rFonts w:ascii="FrankRuehl" w:hAnsi="FrankRuehl" w:cs="FrankRuehl" w:hint="cs"/>
          <w:sz w:val="28"/>
          <w:szCs w:val="28"/>
          <w:rtl/>
        </w:rPr>
        <w:t xml:space="preserve">להעדר עבר פלילי. </w:t>
      </w:r>
    </w:p>
    <w:p w:rsidR="00AA431D" w:rsidRDefault="00AA431D" w:rsidP="00AA431D">
      <w:pPr>
        <w:spacing w:line="360" w:lineRule="auto"/>
        <w:jc w:val="both"/>
        <w:rPr>
          <w:rFonts w:ascii="FrankRuehl" w:hAnsi="FrankRuehl" w:cs="FrankRuehl"/>
          <w:sz w:val="28"/>
          <w:szCs w:val="28"/>
          <w:rtl/>
        </w:rPr>
      </w:pPr>
    </w:p>
    <w:p w:rsidR="00DA7A3A" w:rsidRDefault="00F91B51" w:rsidP="00DA7A3A">
      <w:pPr>
        <w:spacing w:line="360" w:lineRule="auto"/>
        <w:jc w:val="both"/>
        <w:rPr>
          <w:rFonts w:ascii="FrankRuehl" w:hAnsi="FrankRuehl" w:cs="FrankRuehl"/>
          <w:sz w:val="28"/>
          <w:szCs w:val="28"/>
          <w:rtl/>
        </w:rPr>
      </w:pPr>
      <w:r>
        <w:rPr>
          <w:rFonts w:ascii="FrankRuehl" w:hAnsi="FrankRuehl" w:cs="FrankRuehl" w:hint="cs"/>
          <w:sz w:val="28"/>
          <w:szCs w:val="28"/>
          <w:rtl/>
        </w:rPr>
        <w:t>83.</w:t>
      </w:r>
      <w:r>
        <w:rPr>
          <w:rFonts w:ascii="FrankRuehl" w:hAnsi="FrankRuehl" w:cs="FrankRuehl" w:hint="cs"/>
          <w:sz w:val="28"/>
          <w:szCs w:val="28"/>
          <w:rtl/>
        </w:rPr>
        <w:tab/>
      </w:r>
      <w:r w:rsidR="00BF5D53">
        <w:rPr>
          <w:rFonts w:ascii="FrankRuehl" w:hAnsi="FrankRuehl" w:cs="FrankRuehl" w:hint="cs"/>
          <w:sz w:val="28"/>
          <w:szCs w:val="28"/>
          <w:rtl/>
        </w:rPr>
        <w:t xml:space="preserve">ואולם, </w:t>
      </w:r>
      <w:r w:rsidR="00AA431D">
        <w:rPr>
          <w:rFonts w:ascii="FrankRuehl" w:hAnsi="FrankRuehl" w:cs="FrankRuehl" w:hint="cs"/>
          <w:sz w:val="28"/>
          <w:szCs w:val="28"/>
          <w:rtl/>
        </w:rPr>
        <w:t xml:space="preserve">הנסיבות של העבירות בהן הורשע הנאשם, מלמדות כי מדובר </w:t>
      </w:r>
      <w:r w:rsidR="00AA431D">
        <w:rPr>
          <w:rFonts w:ascii="FrankRuehl" w:eastAsia="Calibri" w:hAnsi="FrankRuehl" w:cs="FrankRuehl" w:hint="cs"/>
          <w:sz w:val="28"/>
          <w:szCs w:val="28"/>
          <w:rtl/>
        </w:rPr>
        <w:t xml:space="preserve">במעשים שבוצעו על ידו במהלך שבועות ספורים בלבד מסוף חודש ינואר 2016 עד מחצית חודש פברואר של אותה שנה, לצד פנייה אחת לט' (באישום השלישי) בחודש מאי 2015. כאמור, מדובר במעשים חמורים אך אין מקום לייחס לנאשם את מה שאין במעשי העבירה. אין למחוק בהינף יד את כל אשר פעל במשך כל שנות חייו בשל מעשיו בחודש אחד. </w:t>
      </w:r>
      <w:r w:rsidR="00DA7A3A">
        <w:rPr>
          <w:rFonts w:ascii="FrankRuehl" w:hAnsi="FrankRuehl" w:cs="FrankRuehl" w:hint="cs"/>
          <w:sz w:val="28"/>
          <w:szCs w:val="28"/>
          <w:rtl/>
        </w:rPr>
        <w:t xml:space="preserve">יש לתת משקל גם לנסיבות חייו של הנאשם, כפי שפורטו, הן בחוות דעתה של ד"ר תמיר, הן מפיו של מר הר שושנים, והן מפי באת כוחו של הנאשם, ולא נסתרו. נכותו של הנאשם שלא השפיעה על רצונו לשרת שירות צבאי מלא. </w:t>
      </w:r>
    </w:p>
    <w:p w:rsidR="00626371" w:rsidRDefault="00626371" w:rsidP="00AA431D">
      <w:pPr>
        <w:spacing w:line="360" w:lineRule="auto"/>
        <w:jc w:val="both"/>
        <w:rPr>
          <w:rFonts w:ascii="FrankRuehl" w:eastAsia="Calibri" w:hAnsi="FrankRuehl" w:cs="FrankRuehl"/>
          <w:sz w:val="28"/>
          <w:szCs w:val="28"/>
          <w:rtl/>
        </w:rPr>
      </w:pPr>
    </w:p>
    <w:p w:rsidR="00DA7A3A" w:rsidRPr="00FA2187" w:rsidRDefault="00F91B51" w:rsidP="00FA2187">
      <w:pPr>
        <w:spacing w:line="360" w:lineRule="auto"/>
        <w:jc w:val="both"/>
        <w:rPr>
          <w:rFonts w:ascii="FrankRuehl" w:hAnsi="FrankRuehl" w:cs="FrankRuehl"/>
          <w:sz w:val="28"/>
          <w:szCs w:val="28"/>
          <w:rtl/>
        </w:rPr>
      </w:pPr>
      <w:r>
        <w:rPr>
          <w:rFonts w:ascii="FrankRuehl" w:eastAsia="Calibri" w:hAnsi="FrankRuehl" w:cs="FrankRuehl" w:hint="cs"/>
          <w:sz w:val="28"/>
          <w:szCs w:val="28"/>
          <w:rtl/>
        </w:rPr>
        <w:t>84.</w:t>
      </w:r>
      <w:r>
        <w:rPr>
          <w:rFonts w:ascii="FrankRuehl" w:eastAsia="Calibri" w:hAnsi="FrankRuehl" w:cs="FrankRuehl" w:hint="cs"/>
          <w:sz w:val="28"/>
          <w:szCs w:val="28"/>
          <w:rtl/>
        </w:rPr>
        <w:tab/>
      </w:r>
      <w:r w:rsidR="00AA431D">
        <w:rPr>
          <w:rFonts w:ascii="FrankRuehl" w:eastAsia="Calibri" w:hAnsi="FrankRuehl" w:cs="FrankRuehl" w:hint="cs"/>
          <w:sz w:val="28"/>
          <w:szCs w:val="28"/>
          <w:rtl/>
        </w:rPr>
        <w:t>אין גם למחוק את כל פעלו במסגרת השירות הציבורי בשל העובדה כי כישלונו היה אף הוא במסגרת השירות הציבורי. כפי שעלה כמעט מכל העדויות של עובדי הרשות שהעידו</w:t>
      </w:r>
      <w:r w:rsidR="00DA7A3A">
        <w:rPr>
          <w:rFonts w:ascii="FrankRuehl" w:eastAsia="Calibri" w:hAnsi="FrankRuehl" w:cs="FrankRuehl" w:hint="cs"/>
          <w:sz w:val="28"/>
          <w:szCs w:val="28"/>
          <w:rtl/>
        </w:rPr>
        <w:t xml:space="preserve"> בפני, לנאשם היה מעמד משמעותי ברשות, ב</w:t>
      </w:r>
      <w:r w:rsidR="00AA431D">
        <w:rPr>
          <w:rFonts w:ascii="FrankRuehl" w:eastAsia="Calibri" w:hAnsi="FrankRuehl" w:cs="FrankRuehl" w:hint="cs"/>
          <w:sz w:val="28"/>
          <w:szCs w:val="28"/>
          <w:rtl/>
        </w:rPr>
        <w:t xml:space="preserve">ו זכה לא מההפקר, כי אם מעבודתו הרבה </w:t>
      </w:r>
      <w:r w:rsidR="00DA7A3A">
        <w:rPr>
          <w:rFonts w:ascii="FrankRuehl" w:eastAsia="Calibri" w:hAnsi="FrankRuehl" w:cs="FrankRuehl" w:hint="cs"/>
          <w:sz w:val="28"/>
          <w:szCs w:val="28"/>
          <w:rtl/>
        </w:rPr>
        <w:t xml:space="preserve">המשמעותית </w:t>
      </w:r>
      <w:r w:rsidR="00AA431D">
        <w:rPr>
          <w:rFonts w:ascii="FrankRuehl" w:eastAsia="Calibri" w:hAnsi="FrankRuehl" w:cs="FrankRuehl" w:hint="cs"/>
          <w:sz w:val="28"/>
          <w:szCs w:val="28"/>
          <w:rtl/>
        </w:rPr>
        <w:t xml:space="preserve">והמסורה בתחום זה של </w:t>
      </w:r>
      <w:r w:rsidR="00465AB8">
        <w:rPr>
          <w:rFonts w:ascii="FrankRuehl" w:eastAsia="Calibri" w:hAnsi="FrankRuehl" w:cs="FrankRuehl" w:hint="cs"/>
          <w:sz w:val="28"/>
          <w:szCs w:val="28"/>
          <w:rtl/>
        </w:rPr>
        <w:t>הטיפול באוכלוסייה שעלתה מאתיופיה ושנדרשה לסיוע הרשות ביחס לקרובי משפחתם, ובטיפול בניסיונות הגירה לישראל של מי שאינם זכאים לקבל מעמד בישראל. נשמעו עדויות לא מעטות על הקושי בעמידה מול הלחצים שהופעלו בעניינים אלו, ולעובדה שהנאשם, בן העדה האתיופי בעצמו, היה צריך לעמוד לא פעם מול בני העדה ולהציג את עמדת הרשות שלא תמיד ערבה לחכם. עלה, כי לא פעם לא היה בנמצא מי שהיה מוכן לייצג את עמדת המדינה בבתי המשפט, ורק הנאשם התנ</w:t>
      </w:r>
      <w:r w:rsidR="00465AB8" w:rsidRPr="00FA2187">
        <w:rPr>
          <w:rFonts w:ascii="FrankRuehl" w:eastAsia="Calibri" w:hAnsi="FrankRuehl" w:cs="FrankRuehl" w:hint="cs"/>
          <w:sz w:val="28"/>
          <w:szCs w:val="28"/>
          <w:rtl/>
        </w:rPr>
        <w:t>דב לכך. כך למשל, עלה מעדותה של</w:t>
      </w:r>
      <w:r w:rsidR="009C4817" w:rsidRPr="00FA2187">
        <w:rPr>
          <w:rFonts w:ascii="FrankRuehl" w:eastAsia="Calibri" w:hAnsi="FrankRuehl" w:cs="FrankRuehl" w:hint="cs"/>
          <w:sz w:val="28"/>
          <w:szCs w:val="28"/>
          <w:rtl/>
        </w:rPr>
        <w:t xml:space="preserve"> עו"ד טולדנו, </w:t>
      </w:r>
      <w:r w:rsidR="00FA2187" w:rsidRPr="00FA2187">
        <w:rPr>
          <w:rFonts w:ascii="FrankRuehl" w:eastAsia="Calibri" w:hAnsi="FrankRuehl" w:cs="FrankRuehl" w:hint="cs"/>
          <w:sz w:val="28"/>
          <w:szCs w:val="28"/>
          <w:rtl/>
        </w:rPr>
        <w:t xml:space="preserve">מר עמוס ארבל, </w:t>
      </w:r>
      <w:r w:rsidR="009C4817" w:rsidRPr="00FA2187">
        <w:rPr>
          <w:rFonts w:ascii="FrankRuehl" w:eastAsia="Calibri" w:hAnsi="FrankRuehl" w:cs="FrankRuehl" w:hint="cs"/>
          <w:sz w:val="28"/>
          <w:szCs w:val="28"/>
          <w:rtl/>
        </w:rPr>
        <w:t>גב' אשרת עזרא</w:t>
      </w:r>
      <w:r w:rsidR="00FA2187" w:rsidRPr="00FA2187">
        <w:rPr>
          <w:rFonts w:ascii="FrankRuehl" w:eastAsia="Calibri" w:hAnsi="FrankRuehl" w:cs="FrankRuehl" w:hint="cs"/>
          <w:sz w:val="28"/>
          <w:szCs w:val="28"/>
          <w:rtl/>
        </w:rPr>
        <w:t xml:space="preserve"> ו</w:t>
      </w:r>
      <w:r w:rsidR="009C4817" w:rsidRPr="00FA2187">
        <w:rPr>
          <w:rFonts w:ascii="FrankRuehl" w:eastAsia="Calibri" w:hAnsi="FrankRuehl" w:cs="FrankRuehl" w:hint="cs"/>
          <w:sz w:val="28"/>
          <w:szCs w:val="28"/>
          <w:rtl/>
        </w:rPr>
        <w:t>גב' מזל כהן</w:t>
      </w:r>
      <w:r w:rsidR="00465AB8" w:rsidRPr="00FA2187">
        <w:rPr>
          <w:rFonts w:ascii="FrankRuehl" w:eastAsia="Calibri" w:hAnsi="FrankRuehl" w:cs="FrankRuehl" w:hint="cs"/>
          <w:sz w:val="28"/>
          <w:szCs w:val="28"/>
          <w:rtl/>
        </w:rPr>
        <w:t>.</w:t>
      </w:r>
      <w:r w:rsidR="00DA7A3A" w:rsidRPr="00FA2187">
        <w:rPr>
          <w:rFonts w:ascii="FrankRuehl" w:eastAsia="Calibri" w:hAnsi="FrankRuehl" w:cs="FrankRuehl" w:hint="cs"/>
          <w:sz w:val="28"/>
          <w:szCs w:val="28"/>
          <w:rtl/>
        </w:rPr>
        <w:t xml:space="preserve"> האיומים שהופנו כלפיו, </w:t>
      </w:r>
      <w:r w:rsidR="00DA7A3A" w:rsidRPr="00FA2187">
        <w:rPr>
          <w:rFonts w:ascii="FrankRuehl" w:hAnsi="FrankRuehl" w:cs="FrankRuehl" w:hint="cs"/>
          <w:sz w:val="28"/>
          <w:szCs w:val="28"/>
          <w:rtl/>
        </w:rPr>
        <w:t>לא הרתיעו אותו מלמלא את מחוייבותו בשירות המדינה.</w:t>
      </w:r>
    </w:p>
    <w:p w:rsidR="00465AB8" w:rsidRDefault="00465AB8" w:rsidP="00DA7A3A">
      <w:pPr>
        <w:spacing w:line="360" w:lineRule="auto"/>
        <w:jc w:val="both"/>
        <w:rPr>
          <w:rFonts w:ascii="FrankRuehl" w:hAnsi="FrankRuehl" w:cs="FrankRuehl"/>
          <w:sz w:val="28"/>
          <w:szCs w:val="28"/>
          <w:rtl/>
        </w:rPr>
      </w:pPr>
    </w:p>
    <w:p w:rsidR="00CA17B0" w:rsidRDefault="00F91B51" w:rsidP="00CA17B0">
      <w:pPr>
        <w:spacing w:line="360" w:lineRule="auto"/>
        <w:jc w:val="both"/>
        <w:rPr>
          <w:rFonts w:ascii="FrankRuehl" w:hAnsi="FrankRuehl" w:cs="FrankRuehl"/>
          <w:sz w:val="28"/>
          <w:szCs w:val="28"/>
          <w:rtl/>
        </w:rPr>
      </w:pPr>
      <w:r>
        <w:rPr>
          <w:rFonts w:ascii="FrankRuehl" w:hAnsi="FrankRuehl" w:cs="FrankRuehl" w:hint="cs"/>
          <w:sz w:val="28"/>
          <w:szCs w:val="28"/>
          <w:rtl/>
        </w:rPr>
        <w:t>85.</w:t>
      </w:r>
      <w:r>
        <w:rPr>
          <w:rFonts w:ascii="FrankRuehl" w:hAnsi="FrankRuehl" w:cs="FrankRuehl" w:hint="cs"/>
          <w:sz w:val="28"/>
          <w:szCs w:val="28"/>
          <w:rtl/>
        </w:rPr>
        <w:tab/>
      </w:r>
      <w:r w:rsidR="00CA17B0">
        <w:rPr>
          <w:rFonts w:ascii="FrankRuehl" w:hAnsi="FrankRuehl" w:cs="FrankRuehl" w:hint="cs"/>
          <w:sz w:val="28"/>
          <w:szCs w:val="28"/>
          <w:rtl/>
        </w:rPr>
        <w:t xml:space="preserve">יש גם להביא בחשבון את השפעת העונש, כמו גם את השפעת התקופה הארוכה מאז נחשפה הפרשה ועד היום, על בני משפחתו של הנאשם, רעייתו, שלושת ילדיו, בני משפחת הר שושנים שרואים בו כבן משפחה, ואמו שנפטרה אך לפני כשנה. את הבושה, את הפגיעה במעמד, כמו גם את המצב הכלכלי של המשפחה. </w:t>
      </w:r>
    </w:p>
    <w:p w:rsidR="00CA17B0" w:rsidRDefault="00CA17B0" w:rsidP="00DA7A3A">
      <w:pPr>
        <w:spacing w:line="360" w:lineRule="auto"/>
        <w:jc w:val="both"/>
        <w:rPr>
          <w:rFonts w:ascii="FrankRuehl" w:hAnsi="FrankRuehl" w:cs="FrankRuehl"/>
          <w:sz w:val="28"/>
          <w:szCs w:val="28"/>
          <w:rtl/>
        </w:rPr>
      </w:pPr>
    </w:p>
    <w:p w:rsidR="00A51A2C" w:rsidRDefault="00F91B51" w:rsidP="00A51A2C">
      <w:pPr>
        <w:spacing w:line="360" w:lineRule="auto"/>
        <w:jc w:val="both"/>
        <w:rPr>
          <w:rFonts w:ascii="FrankRuehl" w:hAnsi="FrankRuehl" w:cs="FrankRuehl"/>
          <w:sz w:val="28"/>
          <w:szCs w:val="28"/>
          <w:rtl/>
        </w:rPr>
      </w:pPr>
      <w:r>
        <w:rPr>
          <w:rFonts w:ascii="FrankRuehl" w:hAnsi="FrankRuehl" w:cs="FrankRuehl" w:hint="cs"/>
          <w:sz w:val="28"/>
          <w:szCs w:val="28"/>
          <w:rtl/>
        </w:rPr>
        <w:lastRenderedPageBreak/>
        <w:t>86.</w:t>
      </w:r>
      <w:r>
        <w:rPr>
          <w:rFonts w:ascii="FrankRuehl" w:hAnsi="FrankRuehl" w:cs="FrankRuehl" w:hint="cs"/>
          <w:sz w:val="28"/>
          <w:szCs w:val="28"/>
          <w:rtl/>
        </w:rPr>
        <w:tab/>
      </w:r>
      <w:r w:rsidR="00BF5D53" w:rsidRPr="003852A3">
        <w:rPr>
          <w:rFonts w:ascii="FrankRuehl" w:hAnsi="FrankRuehl" w:cs="FrankRuehl" w:hint="cs"/>
          <w:sz w:val="28"/>
          <w:szCs w:val="28"/>
          <w:rtl/>
        </w:rPr>
        <w:t>לצד זאת</w:t>
      </w:r>
      <w:r w:rsidR="00465AB8">
        <w:rPr>
          <w:rFonts w:ascii="FrankRuehl" w:hAnsi="FrankRuehl" w:cs="FrankRuehl" w:hint="cs"/>
          <w:sz w:val="28"/>
          <w:szCs w:val="28"/>
          <w:rtl/>
        </w:rPr>
        <w:t xml:space="preserve"> יש להביא בחשבון שהנאשם </w:t>
      </w:r>
      <w:r w:rsidR="00BF5D53" w:rsidRPr="003852A3">
        <w:rPr>
          <w:rFonts w:ascii="FrankRuehl" w:hAnsi="FrankRuehl" w:cs="FrankRuehl" w:hint="cs"/>
          <w:sz w:val="28"/>
          <w:szCs w:val="28"/>
          <w:rtl/>
        </w:rPr>
        <w:t>לא נטל אחריות על מעשיו בשום שלב משלבי ההליך הפלילי</w:t>
      </w:r>
      <w:r w:rsidR="00465AB8">
        <w:rPr>
          <w:rFonts w:ascii="FrankRuehl" w:hAnsi="FrankRuehl" w:cs="FrankRuehl" w:hint="cs"/>
          <w:sz w:val="28"/>
          <w:szCs w:val="28"/>
          <w:rtl/>
        </w:rPr>
        <w:t>, בכלל זה בדבריו בסוף הדיון בו נשמעו הטיעונים לעונש</w:t>
      </w:r>
      <w:r w:rsidR="00BF5D53" w:rsidRPr="003852A3">
        <w:rPr>
          <w:rFonts w:ascii="FrankRuehl" w:hAnsi="FrankRuehl" w:cs="FrankRuehl" w:hint="cs"/>
          <w:sz w:val="28"/>
          <w:szCs w:val="28"/>
          <w:rtl/>
        </w:rPr>
        <w:t xml:space="preserve">. </w:t>
      </w:r>
      <w:r w:rsidR="00A51A2C">
        <w:rPr>
          <w:rFonts w:ascii="FrankRuehl" w:hAnsi="FrankRuehl" w:cs="FrankRuehl" w:hint="cs"/>
          <w:sz w:val="28"/>
          <w:szCs w:val="28"/>
          <w:rtl/>
        </w:rPr>
        <w:t xml:space="preserve">אכן, הנאשם </w:t>
      </w:r>
      <w:r w:rsidR="00A51A2C" w:rsidRPr="00EC2D00">
        <w:rPr>
          <w:rFonts w:ascii="FrankRuehl" w:hAnsi="FrankRuehl" w:cs="FrankRuehl" w:hint="cs"/>
          <w:sz w:val="28"/>
          <w:szCs w:val="28"/>
          <w:rtl/>
        </w:rPr>
        <w:t xml:space="preserve">לא הכחיש את שיחותיו </w:t>
      </w:r>
      <w:r w:rsidR="00A51A2C">
        <w:rPr>
          <w:rFonts w:ascii="FrankRuehl" w:hAnsi="FrankRuehl" w:cs="FrankRuehl" w:hint="cs"/>
          <w:sz w:val="28"/>
          <w:szCs w:val="28"/>
          <w:rtl/>
        </w:rPr>
        <w:t xml:space="preserve">עם הנשים, </w:t>
      </w:r>
      <w:r w:rsidR="00A51A2C" w:rsidRPr="00EC2D00">
        <w:rPr>
          <w:rFonts w:ascii="FrankRuehl" w:hAnsi="FrankRuehl" w:cs="FrankRuehl" w:hint="cs"/>
          <w:sz w:val="28"/>
          <w:szCs w:val="28"/>
          <w:rtl/>
        </w:rPr>
        <w:t xml:space="preserve">כמו את הקשר שהיה לו עם ט', </w:t>
      </w:r>
      <w:r w:rsidR="00A51A2C">
        <w:rPr>
          <w:rFonts w:ascii="FrankRuehl" w:hAnsi="FrankRuehl" w:cs="FrankRuehl" w:hint="cs"/>
          <w:sz w:val="28"/>
          <w:szCs w:val="28"/>
          <w:rtl/>
        </w:rPr>
        <w:t>אך בכך אין חידוש, שכן לא ניתן היה להכחישן. הוא כן כפר ב</w:t>
      </w:r>
      <w:r w:rsidR="00A51A2C" w:rsidRPr="00EC2D00">
        <w:rPr>
          <w:rFonts w:ascii="FrankRuehl" w:hAnsi="FrankRuehl" w:cs="FrankRuehl" w:hint="cs"/>
          <w:sz w:val="28"/>
          <w:szCs w:val="28"/>
          <w:rtl/>
        </w:rPr>
        <w:t xml:space="preserve">פרשנות </w:t>
      </w:r>
      <w:r w:rsidR="00A51A2C">
        <w:rPr>
          <w:rFonts w:ascii="FrankRuehl" w:hAnsi="FrankRuehl" w:cs="FrankRuehl" w:hint="cs"/>
          <w:sz w:val="28"/>
          <w:szCs w:val="28"/>
          <w:rtl/>
        </w:rPr>
        <w:t xml:space="preserve">שיש ליתן לשיחות אלו, ולצד הכרתו באחריותו המוסרית כלפי בני משפחתו, הוא סרב להכיר, ולו הכרה כלשהי, באחריות כלפי הציבור שמעשיו פגעו באמון שניתן בו כעובד ציבור, ואף יש בהן כדי לפגוע באמון, הכל כך נחוץ, בשירות הציבורי בכלל.  </w:t>
      </w:r>
    </w:p>
    <w:p w:rsidR="00BF5D53" w:rsidRDefault="00BF5D53" w:rsidP="00BF5D53">
      <w:pPr>
        <w:spacing w:line="360" w:lineRule="auto"/>
        <w:jc w:val="both"/>
        <w:rPr>
          <w:rFonts w:ascii="FrankRuehl" w:hAnsi="FrankRuehl" w:cs="FrankRuehl"/>
          <w:sz w:val="28"/>
          <w:szCs w:val="28"/>
          <w:rtl/>
        </w:rPr>
      </w:pPr>
    </w:p>
    <w:p w:rsidR="00626371" w:rsidRDefault="00F91B51" w:rsidP="003053F2">
      <w:pPr>
        <w:spacing w:line="360" w:lineRule="auto"/>
        <w:jc w:val="both"/>
        <w:rPr>
          <w:rFonts w:ascii="FrankRuehl" w:hAnsi="FrankRuehl" w:cs="FrankRuehl"/>
          <w:sz w:val="28"/>
          <w:szCs w:val="28"/>
          <w:rtl/>
        </w:rPr>
      </w:pPr>
      <w:r>
        <w:rPr>
          <w:rFonts w:ascii="FrankRuehl" w:hAnsi="FrankRuehl" w:cs="FrankRuehl" w:hint="cs"/>
          <w:sz w:val="28"/>
          <w:szCs w:val="28"/>
          <w:rtl/>
        </w:rPr>
        <w:t>87.</w:t>
      </w:r>
      <w:r>
        <w:rPr>
          <w:rFonts w:ascii="FrankRuehl" w:hAnsi="FrankRuehl" w:cs="FrankRuehl" w:hint="cs"/>
          <w:sz w:val="28"/>
          <w:szCs w:val="28"/>
          <w:rtl/>
        </w:rPr>
        <w:tab/>
      </w:r>
      <w:r w:rsidR="00465AB8">
        <w:rPr>
          <w:rFonts w:ascii="FrankRuehl" w:hAnsi="FrankRuehl" w:cs="FrankRuehl" w:hint="cs"/>
          <w:sz w:val="28"/>
          <w:szCs w:val="28"/>
          <w:rtl/>
        </w:rPr>
        <w:t xml:space="preserve">בצדק נטען, כי </w:t>
      </w:r>
      <w:r w:rsidR="00626371">
        <w:rPr>
          <w:rFonts w:ascii="FrankRuehl" w:hAnsi="FrankRuehl" w:cs="FrankRuehl" w:hint="cs"/>
          <w:sz w:val="28"/>
          <w:szCs w:val="28"/>
          <w:rtl/>
        </w:rPr>
        <w:t xml:space="preserve">טוב היה עושה הנאשם לו לא היה בוחר </w:t>
      </w:r>
      <w:r w:rsidR="00465AB8">
        <w:rPr>
          <w:rFonts w:ascii="FrankRuehl" w:hAnsi="FrankRuehl" w:cs="FrankRuehl" w:hint="cs"/>
          <w:sz w:val="28"/>
          <w:szCs w:val="28"/>
          <w:rtl/>
        </w:rPr>
        <w:t xml:space="preserve">להתגונן בטענה כי </w:t>
      </w:r>
      <w:r w:rsidR="00626371">
        <w:rPr>
          <w:rFonts w:ascii="FrankRuehl" w:hAnsi="FrankRuehl" w:cs="FrankRuehl" w:hint="cs"/>
          <w:sz w:val="28"/>
          <w:szCs w:val="28"/>
          <w:rtl/>
        </w:rPr>
        <w:t>סגנון הדברים בינו לבין חלק מהנשים מבטא סגנון ביטוי מקובל בין בני העדה האתיופית. טענה זו, יותר משהיה בה לפגוע ב</w:t>
      </w:r>
      <w:r w:rsidR="003053F2">
        <w:rPr>
          <w:rFonts w:ascii="FrankRuehl" w:hAnsi="FrankRuehl" w:cs="FrankRuehl" w:hint="cs"/>
          <w:sz w:val="28"/>
          <w:szCs w:val="28"/>
          <w:rtl/>
        </w:rPr>
        <w:t xml:space="preserve">אופן </w:t>
      </w:r>
      <w:r w:rsidR="00626371">
        <w:rPr>
          <w:rFonts w:ascii="FrankRuehl" w:hAnsi="FrankRuehl" w:cs="FrankRuehl" w:hint="cs"/>
          <w:sz w:val="28"/>
          <w:szCs w:val="28"/>
          <w:rtl/>
        </w:rPr>
        <w:t>בלתי ראוי בבני העדה האתיופית, היה בה כדי לפגוע באותן נשים, שהנאשם ניצל את חולשתן כדי לקבל מהם שוחד מיני, כשהוא זה שכיוון את השיח המיני באותן שיחות.</w:t>
      </w:r>
    </w:p>
    <w:p w:rsidR="00626371" w:rsidRDefault="00626371" w:rsidP="00626371">
      <w:pPr>
        <w:spacing w:line="360" w:lineRule="auto"/>
        <w:jc w:val="both"/>
        <w:rPr>
          <w:rFonts w:ascii="FrankRuehl" w:hAnsi="FrankRuehl" w:cs="FrankRuehl"/>
          <w:sz w:val="28"/>
          <w:szCs w:val="28"/>
          <w:rtl/>
        </w:rPr>
      </w:pPr>
    </w:p>
    <w:p w:rsidR="00A51A2C" w:rsidRDefault="00F91B51" w:rsidP="00F91B51">
      <w:pPr>
        <w:spacing w:line="360" w:lineRule="auto"/>
        <w:jc w:val="both"/>
        <w:rPr>
          <w:rFonts w:ascii="FrankRuehl" w:hAnsi="FrankRuehl" w:cs="FrankRuehl"/>
          <w:sz w:val="28"/>
          <w:szCs w:val="28"/>
          <w:rtl/>
        </w:rPr>
      </w:pPr>
      <w:r>
        <w:rPr>
          <w:rFonts w:ascii="FrankRuehl" w:hAnsi="FrankRuehl" w:cs="FrankRuehl" w:hint="cs"/>
          <w:sz w:val="28"/>
          <w:szCs w:val="28"/>
          <w:rtl/>
        </w:rPr>
        <w:t>88.</w:t>
      </w:r>
      <w:r>
        <w:rPr>
          <w:rFonts w:ascii="FrankRuehl" w:hAnsi="FrankRuehl" w:cs="FrankRuehl" w:hint="cs"/>
          <w:sz w:val="28"/>
          <w:szCs w:val="28"/>
          <w:rtl/>
        </w:rPr>
        <w:tab/>
      </w:r>
      <w:r w:rsidR="00A51A2C">
        <w:rPr>
          <w:rFonts w:ascii="FrankRuehl" w:hAnsi="FrankRuehl" w:cs="FrankRuehl" w:hint="cs"/>
          <w:sz w:val="28"/>
          <w:szCs w:val="28"/>
          <w:rtl/>
        </w:rPr>
        <w:t xml:space="preserve">ברגיל אפוא, </w:t>
      </w:r>
      <w:r w:rsidR="000B7DF9">
        <w:rPr>
          <w:rFonts w:ascii="FrankRuehl" w:hAnsi="FrankRuehl" w:cs="FrankRuehl" w:hint="cs"/>
          <w:sz w:val="28"/>
          <w:szCs w:val="28"/>
          <w:rtl/>
        </w:rPr>
        <w:t xml:space="preserve">לא </w:t>
      </w:r>
      <w:r w:rsidR="00A51A2C">
        <w:rPr>
          <w:rFonts w:ascii="FrankRuehl" w:hAnsi="FrankRuehl" w:cs="FrankRuehl" w:hint="cs"/>
          <w:sz w:val="28"/>
          <w:szCs w:val="28"/>
          <w:rtl/>
        </w:rPr>
        <w:t>היה מקום לגזור את עונשו של הנאשם ב</w:t>
      </w:r>
      <w:r w:rsidR="000B7DF9">
        <w:rPr>
          <w:rFonts w:ascii="FrankRuehl" w:hAnsi="FrankRuehl" w:cs="FrankRuehl" w:hint="cs"/>
          <w:sz w:val="28"/>
          <w:szCs w:val="28"/>
          <w:rtl/>
        </w:rPr>
        <w:t>תחתית המתחם כי אם קרוב יותר ל</w:t>
      </w:r>
      <w:r w:rsidR="00A51A2C">
        <w:rPr>
          <w:rFonts w:ascii="FrankRuehl" w:hAnsi="FrankRuehl" w:cs="FrankRuehl" w:hint="cs"/>
          <w:sz w:val="28"/>
          <w:szCs w:val="28"/>
          <w:rtl/>
        </w:rPr>
        <w:t xml:space="preserve">שליש המתחם. ואולם, במקרה זה יש לתת משקל של ממש לשיהוי </w:t>
      </w:r>
      <w:r w:rsidR="00BF5D53" w:rsidRPr="003852A3">
        <w:rPr>
          <w:rFonts w:ascii="FrankRuehl" w:hAnsi="FrankRuehl" w:cs="FrankRuehl" w:hint="cs"/>
          <w:sz w:val="28"/>
          <w:szCs w:val="28"/>
          <w:rtl/>
        </w:rPr>
        <w:t>בהגשת כתב האישום</w:t>
      </w:r>
      <w:r w:rsidR="00A51A2C">
        <w:rPr>
          <w:rFonts w:ascii="FrankRuehl" w:hAnsi="FrankRuehl" w:cs="FrankRuehl" w:hint="cs"/>
          <w:sz w:val="28"/>
          <w:szCs w:val="28"/>
          <w:rtl/>
        </w:rPr>
        <w:t xml:space="preserve">. </w:t>
      </w:r>
    </w:p>
    <w:p w:rsidR="00A51A2C" w:rsidRDefault="00A51A2C" w:rsidP="00A51A2C">
      <w:pPr>
        <w:spacing w:line="360" w:lineRule="auto"/>
        <w:jc w:val="both"/>
        <w:rPr>
          <w:rFonts w:ascii="FrankRuehl" w:hAnsi="FrankRuehl" w:cs="FrankRuehl"/>
          <w:sz w:val="28"/>
          <w:szCs w:val="28"/>
          <w:rtl/>
        </w:rPr>
      </w:pPr>
    </w:p>
    <w:p w:rsidR="00BF5D53" w:rsidRPr="003852A3" w:rsidRDefault="00F91B51" w:rsidP="00A51A2C">
      <w:pPr>
        <w:spacing w:line="360" w:lineRule="auto"/>
        <w:jc w:val="both"/>
        <w:rPr>
          <w:rFonts w:ascii="FrankRuehl" w:hAnsi="FrankRuehl" w:cs="FrankRuehl"/>
          <w:sz w:val="28"/>
          <w:szCs w:val="28"/>
          <w:rtl/>
        </w:rPr>
      </w:pPr>
      <w:r>
        <w:rPr>
          <w:rFonts w:ascii="FrankRuehl" w:hAnsi="FrankRuehl" w:cs="FrankRuehl" w:hint="cs"/>
          <w:sz w:val="28"/>
          <w:szCs w:val="28"/>
          <w:rtl/>
        </w:rPr>
        <w:t>89.</w:t>
      </w:r>
      <w:r>
        <w:rPr>
          <w:rFonts w:ascii="FrankRuehl" w:hAnsi="FrankRuehl" w:cs="FrankRuehl" w:hint="cs"/>
          <w:sz w:val="28"/>
          <w:szCs w:val="28"/>
          <w:rtl/>
        </w:rPr>
        <w:tab/>
      </w:r>
      <w:r w:rsidR="00A51A2C">
        <w:rPr>
          <w:rFonts w:ascii="FrankRuehl" w:hAnsi="FrankRuehl" w:cs="FrankRuehl" w:hint="cs"/>
          <w:sz w:val="28"/>
          <w:szCs w:val="28"/>
          <w:rtl/>
        </w:rPr>
        <w:t xml:space="preserve">ב"כ המאשימה אמנם טען כי </w:t>
      </w:r>
      <w:r w:rsidR="00BF5D53" w:rsidRPr="003852A3">
        <w:rPr>
          <w:rFonts w:ascii="FrankRuehl" w:hAnsi="FrankRuehl" w:cs="FrankRuehl" w:hint="cs"/>
          <w:sz w:val="28"/>
          <w:szCs w:val="28"/>
          <w:rtl/>
        </w:rPr>
        <w:t>אין מדובר בשיהוי משמעותי, ו</w:t>
      </w:r>
      <w:r w:rsidR="00A51A2C">
        <w:rPr>
          <w:rFonts w:ascii="FrankRuehl" w:hAnsi="FrankRuehl" w:cs="FrankRuehl" w:hint="cs"/>
          <w:sz w:val="28"/>
          <w:szCs w:val="28"/>
          <w:rtl/>
        </w:rPr>
        <w:t xml:space="preserve">מכל מקום </w:t>
      </w:r>
      <w:r w:rsidR="00BF5D53" w:rsidRPr="003852A3">
        <w:rPr>
          <w:rFonts w:ascii="FrankRuehl" w:hAnsi="FrankRuehl" w:cs="FrankRuehl" w:hint="cs"/>
          <w:sz w:val="28"/>
          <w:szCs w:val="28"/>
          <w:rtl/>
        </w:rPr>
        <w:t>אין לתת לו משקל משמעותי</w:t>
      </w:r>
      <w:r w:rsidR="00A51A2C">
        <w:rPr>
          <w:rFonts w:ascii="FrankRuehl" w:hAnsi="FrankRuehl" w:cs="FrankRuehl" w:hint="cs"/>
          <w:sz w:val="28"/>
          <w:szCs w:val="28"/>
          <w:rtl/>
        </w:rPr>
        <w:t xml:space="preserve"> בשים לב לחומרת מעשיו של הנאשם. הוא גם טען, כי הנאשם קיבל משכורת מהמדינה בכל תקופת השעייתו מהשירות הציבורי, מאז נחשפו העבירות. </w:t>
      </w:r>
    </w:p>
    <w:p w:rsidR="00BF5D53" w:rsidRDefault="00BF5D53" w:rsidP="00BF5D53">
      <w:pPr>
        <w:spacing w:line="360" w:lineRule="auto"/>
        <w:jc w:val="both"/>
        <w:rPr>
          <w:rFonts w:ascii="FrankRuehl" w:hAnsi="FrankRuehl" w:cs="FrankRuehl"/>
          <w:sz w:val="28"/>
          <w:szCs w:val="28"/>
          <w:rtl/>
        </w:rPr>
      </w:pPr>
    </w:p>
    <w:p w:rsidR="00644BC7" w:rsidRDefault="00F91B51" w:rsidP="00644BC7">
      <w:pPr>
        <w:spacing w:line="360" w:lineRule="auto"/>
        <w:jc w:val="both"/>
        <w:rPr>
          <w:rFonts w:ascii="FrankRuehl" w:eastAsia="Calibri" w:hAnsi="FrankRuehl" w:cs="FrankRuehl"/>
          <w:color w:val="000000"/>
          <w:sz w:val="28"/>
          <w:szCs w:val="28"/>
          <w:rtl/>
        </w:rPr>
      </w:pPr>
      <w:r>
        <w:rPr>
          <w:rFonts w:ascii="FrankRuehl" w:hAnsi="FrankRuehl" w:cs="FrankRuehl" w:hint="cs"/>
          <w:sz w:val="28"/>
          <w:szCs w:val="28"/>
          <w:rtl/>
        </w:rPr>
        <w:t>90.</w:t>
      </w:r>
      <w:r>
        <w:rPr>
          <w:rFonts w:ascii="FrankRuehl" w:hAnsi="FrankRuehl" w:cs="FrankRuehl" w:hint="cs"/>
          <w:sz w:val="28"/>
          <w:szCs w:val="28"/>
          <w:rtl/>
        </w:rPr>
        <w:tab/>
      </w:r>
      <w:r w:rsidR="00A51A2C">
        <w:rPr>
          <w:rFonts w:ascii="FrankRuehl" w:hAnsi="FrankRuehl" w:cs="FrankRuehl" w:hint="cs"/>
          <w:sz w:val="28"/>
          <w:szCs w:val="28"/>
          <w:rtl/>
        </w:rPr>
        <w:t>ברם, כפי שציינתי בהכרעת הדין בהרחבה</w:t>
      </w:r>
      <w:r w:rsidR="00644BC7">
        <w:rPr>
          <w:rFonts w:ascii="FrankRuehl" w:hAnsi="FrankRuehl" w:cs="FrankRuehl" w:hint="cs"/>
          <w:sz w:val="28"/>
          <w:szCs w:val="28"/>
          <w:rtl/>
        </w:rPr>
        <w:t xml:space="preserve"> </w:t>
      </w:r>
      <w:r w:rsidR="00A40F30">
        <w:rPr>
          <w:rFonts w:ascii="FrankRuehl" w:hAnsi="FrankRuehl" w:cs="FrankRuehl" w:hint="cs"/>
          <w:sz w:val="28"/>
          <w:szCs w:val="28"/>
          <w:rtl/>
        </w:rPr>
        <w:t>(</w:t>
      </w:r>
      <w:r w:rsidR="00817D95">
        <w:rPr>
          <w:rFonts w:ascii="FrankRuehl" w:hAnsi="FrankRuehl" w:cs="FrankRuehl" w:hint="cs"/>
          <w:sz w:val="28"/>
          <w:szCs w:val="28"/>
          <w:rtl/>
        </w:rPr>
        <w:t>החל מ</w:t>
      </w:r>
      <w:r w:rsidR="00A40F30">
        <w:rPr>
          <w:rFonts w:ascii="FrankRuehl" w:hAnsi="FrankRuehl" w:cs="FrankRuehl" w:hint="cs"/>
          <w:sz w:val="28"/>
          <w:szCs w:val="28"/>
          <w:rtl/>
        </w:rPr>
        <w:t>סעי</w:t>
      </w:r>
      <w:r w:rsidR="00644BC7">
        <w:rPr>
          <w:rFonts w:ascii="FrankRuehl" w:hAnsi="FrankRuehl" w:cs="FrankRuehl" w:hint="cs"/>
          <w:sz w:val="28"/>
          <w:szCs w:val="28"/>
          <w:rtl/>
        </w:rPr>
        <w:t xml:space="preserve">ף 412), </w:t>
      </w:r>
      <w:r w:rsidR="00817D95">
        <w:rPr>
          <w:rFonts w:ascii="FrankRuehl" w:hAnsi="FrankRuehl" w:cs="FrankRuehl" w:hint="cs"/>
          <w:sz w:val="28"/>
          <w:szCs w:val="28"/>
          <w:rtl/>
        </w:rPr>
        <w:t xml:space="preserve">במקרה זה </w:t>
      </w:r>
      <w:r w:rsidR="00644BC7">
        <w:rPr>
          <w:rFonts w:ascii="FrankRuehl" w:hAnsi="FrankRuehl" w:cs="FrankRuehl" w:hint="cs"/>
          <w:sz w:val="28"/>
          <w:szCs w:val="28"/>
          <w:rtl/>
        </w:rPr>
        <w:t>ה</w:t>
      </w:r>
      <w:r w:rsidR="00817D95">
        <w:rPr>
          <w:rFonts w:ascii="FrankRuehl" w:hAnsi="FrankRuehl" w:cs="FrankRuehl" w:hint="cs"/>
          <w:sz w:val="28"/>
          <w:szCs w:val="28"/>
          <w:rtl/>
        </w:rPr>
        <w:t>שיהוי</w:t>
      </w:r>
      <w:r w:rsidR="00644BC7">
        <w:rPr>
          <w:rFonts w:ascii="FrankRuehl" w:hAnsi="FrankRuehl" w:cs="FrankRuehl" w:hint="cs"/>
          <w:sz w:val="28"/>
          <w:szCs w:val="28"/>
          <w:rtl/>
        </w:rPr>
        <w:t xml:space="preserve"> הוא </w:t>
      </w:r>
      <w:r w:rsidR="002C602F">
        <w:rPr>
          <w:rFonts w:ascii="FrankRuehl" w:hAnsi="FrankRuehl" w:cs="FrankRuehl" w:hint="cs"/>
          <w:sz w:val="28"/>
          <w:szCs w:val="28"/>
          <w:rtl/>
        </w:rPr>
        <w:t>משמעותי</w:t>
      </w:r>
      <w:r w:rsidR="00817D95">
        <w:rPr>
          <w:rFonts w:ascii="FrankRuehl" w:hAnsi="FrankRuehl" w:cs="FrankRuehl" w:hint="cs"/>
          <w:sz w:val="28"/>
          <w:szCs w:val="28"/>
          <w:rtl/>
        </w:rPr>
        <w:t>,</w:t>
      </w:r>
      <w:r w:rsidR="00644BC7">
        <w:rPr>
          <w:rFonts w:ascii="FrankRuehl" w:hAnsi="FrankRuehl" w:cs="FrankRuehl" w:hint="cs"/>
          <w:sz w:val="28"/>
          <w:szCs w:val="28"/>
          <w:rtl/>
        </w:rPr>
        <w:t xml:space="preserve"> נוכח העובדה כי חלפה תקופה </w:t>
      </w:r>
      <w:r w:rsidR="00817D95">
        <w:rPr>
          <w:rFonts w:ascii="FrankRuehl" w:hAnsi="FrankRuehl" w:cs="FrankRuehl" w:hint="cs"/>
          <w:sz w:val="28"/>
          <w:szCs w:val="28"/>
          <w:rtl/>
        </w:rPr>
        <w:t xml:space="preserve">של יותר מארבע שנים </w:t>
      </w:r>
      <w:r w:rsidR="00817D95">
        <w:rPr>
          <w:rFonts w:ascii="FrankRuehl" w:eastAsia="Calibri" w:hAnsi="FrankRuehl" w:cs="FrankRuehl"/>
          <w:color w:val="000000"/>
          <w:sz w:val="28"/>
          <w:szCs w:val="28"/>
          <w:rtl/>
        </w:rPr>
        <w:t>מביצוע העביר</w:t>
      </w:r>
      <w:r w:rsidR="00817D95">
        <w:rPr>
          <w:rFonts w:ascii="FrankRuehl" w:eastAsia="Calibri" w:hAnsi="FrankRuehl" w:cs="FrankRuehl" w:hint="cs"/>
          <w:color w:val="000000"/>
          <w:sz w:val="28"/>
          <w:szCs w:val="28"/>
          <w:rtl/>
        </w:rPr>
        <w:t>ות</w:t>
      </w:r>
      <w:r w:rsidR="00817D95">
        <w:rPr>
          <w:rFonts w:ascii="FrankRuehl" w:eastAsia="Calibri" w:hAnsi="FrankRuehl" w:cs="FrankRuehl"/>
          <w:color w:val="000000"/>
          <w:sz w:val="28"/>
          <w:szCs w:val="28"/>
          <w:rtl/>
        </w:rPr>
        <w:t xml:space="preserve"> עד הגשת כתב האישום</w:t>
      </w:r>
      <w:r w:rsidR="00644BC7">
        <w:rPr>
          <w:rFonts w:ascii="FrankRuehl" w:eastAsia="Calibri" w:hAnsi="FrankRuehl" w:cs="FrankRuehl" w:hint="cs"/>
          <w:color w:val="000000"/>
          <w:sz w:val="28"/>
          <w:szCs w:val="28"/>
          <w:rtl/>
        </w:rPr>
        <w:t>, כשלא ניתן הסבר ל</w:t>
      </w:r>
      <w:r w:rsidR="00817D95">
        <w:rPr>
          <w:rFonts w:ascii="FrankRuehl" w:eastAsia="Calibri" w:hAnsi="FrankRuehl" w:cs="FrankRuehl" w:hint="cs"/>
          <w:color w:val="000000"/>
          <w:sz w:val="28"/>
          <w:szCs w:val="28"/>
          <w:rtl/>
        </w:rPr>
        <w:t>מחדל זה</w:t>
      </w:r>
      <w:r w:rsidR="00644BC7">
        <w:rPr>
          <w:rFonts w:ascii="FrankRuehl" w:eastAsia="Calibri" w:hAnsi="FrankRuehl" w:cs="FrankRuehl" w:hint="cs"/>
          <w:color w:val="000000"/>
          <w:sz w:val="28"/>
          <w:szCs w:val="28"/>
          <w:rtl/>
        </w:rPr>
        <w:t xml:space="preserve">, </w:t>
      </w:r>
      <w:r w:rsidR="00817D95">
        <w:rPr>
          <w:rFonts w:ascii="FrankRuehl" w:eastAsia="Calibri" w:hAnsi="FrankRuehl" w:cs="FrankRuehl"/>
          <w:color w:val="000000"/>
          <w:sz w:val="28"/>
          <w:szCs w:val="28"/>
          <w:rtl/>
        </w:rPr>
        <w:t>מלבד טענה כללית להשלמות חקירה בתקופה של שנתיים</w:t>
      </w:r>
      <w:r w:rsidR="00817D95">
        <w:rPr>
          <w:rFonts w:ascii="FrankRuehl" w:eastAsia="Calibri" w:hAnsi="FrankRuehl" w:cs="FrankRuehl" w:hint="cs"/>
          <w:color w:val="000000"/>
          <w:sz w:val="28"/>
          <w:szCs w:val="28"/>
          <w:rtl/>
        </w:rPr>
        <w:t>.</w:t>
      </w:r>
      <w:r w:rsidR="00644BC7">
        <w:rPr>
          <w:rFonts w:ascii="FrankRuehl" w:eastAsia="Calibri" w:hAnsi="FrankRuehl" w:cs="FrankRuehl" w:hint="cs"/>
          <w:color w:val="000000"/>
          <w:sz w:val="28"/>
          <w:szCs w:val="28"/>
          <w:rtl/>
        </w:rPr>
        <w:t xml:space="preserve"> </w:t>
      </w:r>
    </w:p>
    <w:p w:rsidR="00644BC7" w:rsidRDefault="00644BC7" w:rsidP="002C602F">
      <w:pPr>
        <w:spacing w:after="160" w:line="360" w:lineRule="auto"/>
        <w:jc w:val="both"/>
        <w:rPr>
          <w:rFonts w:ascii="FrankRuehl" w:hAnsi="FrankRuehl" w:cs="FrankRuehl"/>
          <w:sz w:val="28"/>
          <w:szCs w:val="28"/>
          <w:rtl/>
        </w:rPr>
      </w:pPr>
    </w:p>
    <w:p w:rsidR="001C627A" w:rsidRPr="00F2020D" w:rsidRDefault="00F91B51" w:rsidP="00F2020D">
      <w:pPr>
        <w:spacing w:after="160" w:line="360" w:lineRule="auto"/>
        <w:jc w:val="both"/>
        <w:rPr>
          <w:rFonts w:ascii="FrankRuehl" w:hAnsi="FrankRuehl" w:cs="FrankRuehl"/>
          <w:sz w:val="28"/>
          <w:szCs w:val="28"/>
          <w:rtl/>
        </w:rPr>
      </w:pPr>
      <w:r>
        <w:rPr>
          <w:rFonts w:ascii="FrankRuehl" w:hAnsi="FrankRuehl" w:cs="FrankRuehl" w:hint="cs"/>
          <w:sz w:val="28"/>
          <w:szCs w:val="28"/>
          <w:rtl/>
        </w:rPr>
        <w:t>91.</w:t>
      </w:r>
      <w:r>
        <w:rPr>
          <w:rFonts w:ascii="FrankRuehl" w:hAnsi="FrankRuehl" w:cs="FrankRuehl" w:hint="cs"/>
          <w:sz w:val="28"/>
          <w:szCs w:val="28"/>
          <w:rtl/>
        </w:rPr>
        <w:tab/>
      </w:r>
      <w:r w:rsidR="00817D95">
        <w:rPr>
          <w:rFonts w:ascii="FrankRuehl" w:hAnsi="FrankRuehl" w:cs="FrankRuehl" w:hint="cs"/>
          <w:sz w:val="28"/>
          <w:szCs w:val="28"/>
          <w:rtl/>
        </w:rPr>
        <w:t xml:space="preserve">כפי שפורט בהכרעת הדין, </w:t>
      </w:r>
      <w:r w:rsidR="00817D95">
        <w:rPr>
          <w:rFonts w:ascii="FrankRuehl" w:hAnsi="FrankRuehl" w:cs="FrankRuehl"/>
          <w:sz w:val="28"/>
          <w:szCs w:val="28"/>
          <w:rtl/>
        </w:rPr>
        <w:t>החקירה נפתחה בחודש מרץ 2016</w:t>
      </w:r>
      <w:r w:rsidR="00817D95">
        <w:rPr>
          <w:rFonts w:ascii="FrankRuehl" w:hAnsi="FrankRuehl" w:cs="FrankRuehl" w:hint="cs"/>
          <w:sz w:val="28"/>
          <w:szCs w:val="28"/>
          <w:rtl/>
        </w:rPr>
        <w:t xml:space="preserve">, </w:t>
      </w:r>
      <w:r w:rsidR="00817D95">
        <w:rPr>
          <w:rFonts w:ascii="FrankRuehl" w:hAnsi="FrankRuehl" w:cs="FrankRuehl"/>
          <w:sz w:val="28"/>
          <w:szCs w:val="28"/>
          <w:rtl/>
        </w:rPr>
        <w:t>מכתב יידוע ראשון נשלח לנאשם די בסמוך, ביום 31.05.16. על אף זאת, כתב האישום הוגש רק בחלוף למעלה מארבע שנים, כש</w:t>
      </w:r>
      <w:r w:rsidR="00817D95">
        <w:rPr>
          <w:rFonts w:ascii="FrankRuehl" w:hAnsi="FrankRuehl" w:cs="FrankRuehl" w:hint="cs"/>
          <w:sz w:val="28"/>
          <w:szCs w:val="28"/>
          <w:rtl/>
        </w:rPr>
        <w:t>כל שנ</w:t>
      </w:r>
      <w:r w:rsidR="00817D95">
        <w:rPr>
          <w:rFonts w:ascii="FrankRuehl" w:hAnsi="FrankRuehl" w:cs="FrankRuehl"/>
          <w:sz w:val="28"/>
          <w:szCs w:val="28"/>
          <w:rtl/>
        </w:rPr>
        <w:t>טען</w:t>
      </w:r>
      <w:r w:rsidR="00817D95">
        <w:rPr>
          <w:rFonts w:ascii="FrankRuehl" w:hAnsi="FrankRuehl" w:cs="FrankRuehl" w:hint="cs"/>
          <w:sz w:val="28"/>
          <w:szCs w:val="28"/>
          <w:rtl/>
        </w:rPr>
        <w:t xml:space="preserve"> על ידי המאשימה היה</w:t>
      </w:r>
      <w:r w:rsidR="00817D95">
        <w:rPr>
          <w:rFonts w:ascii="FrankRuehl" w:hAnsi="FrankRuehl" w:cs="FrankRuehl"/>
          <w:sz w:val="28"/>
          <w:szCs w:val="28"/>
          <w:rtl/>
        </w:rPr>
        <w:t xml:space="preserve"> כי בשנים 2017 ו-2018 בוצעו השלמות חקירה. </w:t>
      </w:r>
      <w:r w:rsidR="00817D95">
        <w:rPr>
          <w:rFonts w:ascii="FrankRuehl" w:hAnsi="FrankRuehl" w:cs="FrankRuehl" w:hint="cs"/>
          <w:sz w:val="28"/>
          <w:szCs w:val="28"/>
          <w:rtl/>
        </w:rPr>
        <w:t xml:space="preserve">לא ניתן כל הסבר </w:t>
      </w:r>
      <w:r w:rsidR="00817D95">
        <w:rPr>
          <w:rFonts w:ascii="FrankRuehl" w:hAnsi="FrankRuehl" w:cs="FrankRuehl"/>
          <w:sz w:val="28"/>
          <w:szCs w:val="28"/>
          <w:rtl/>
        </w:rPr>
        <w:t>מדוע ארכו ההשלמות שנתיים תמימות</w:t>
      </w:r>
      <w:r w:rsidR="00817D95">
        <w:rPr>
          <w:rFonts w:ascii="FrankRuehl" w:hAnsi="FrankRuehl" w:cs="FrankRuehl" w:hint="cs"/>
          <w:sz w:val="28"/>
          <w:szCs w:val="28"/>
          <w:rtl/>
        </w:rPr>
        <w:t>, ולא ניתן כל הסבר</w:t>
      </w:r>
      <w:r w:rsidR="002C602F">
        <w:rPr>
          <w:rFonts w:ascii="FrankRuehl" w:hAnsi="FrankRuehl" w:cs="FrankRuehl" w:hint="cs"/>
          <w:sz w:val="28"/>
          <w:szCs w:val="28"/>
          <w:rtl/>
        </w:rPr>
        <w:t xml:space="preserve"> </w:t>
      </w:r>
      <w:r w:rsidR="00817D95">
        <w:rPr>
          <w:rFonts w:ascii="FrankRuehl" w:hAnsi="FrankRuehl" w:cs="FrankRuehl"/>
          <w:sz w:val="28"/>
          <w:szCs w:val="28"/>
          <w:rtl/>
        </w:rPr>
        <w:t xml:space="preserve">מדוע רק ביום 4.08.19 נשלח לנאשם מכתב יידוע שני. </w:t>
      </w:r>
      <w:r w:rsidR="002C602F">
        <w:rPr>
          <w:rFonts w:ascii="FrankRuehl" w:hAnsi="FrankRuehl" w:cs="FrankRuehl" w:hint="cs"/>
          <w:sz w:val="28"/>
          <w:szCs w:val="28"/>
          <w:rtl/>
        </w:rPr>
        <w:t xml:space="preserve">בנוסף, חלפה חצי שנה </w:t>
      </w:r>
      <w:r w:rsidR="00817D95">
        <w:rPr>
          <w:rFonts w:ascii="FrankRuehl" w:hAnsi="FrankRuehl" w:cs="FrankRuehl"/>
          <w:sz w:val="28"/>
          <w:szCs w:val="28"/>
          <w:rtl/>
        </w:rPr>
        <w:t>מאז השימוע שנערך ביום 19.12.19</w:t>
      </w:r>
      <w:r w:rsidR="002C602F">
        <w:rPr>
          <w:rFonts w:ascii="FrankRuehl" w:hAnsi="FrankRuehl" w:cs="FrankRuehl" w:hint="cs"/>
          <w:sz w:val="28"/>
          <w:szCs w:val="28"/>
          <w:rtl/>
        </w:rPr>
        <w:t xml:space="preserve"> ו</w:t>
      </w:r>
      <w:r w:rsidR="00817D95">
        <w:rPr>
          <w:rFonts w:ascii="FrankRuehl" w:hAnsi="FrankRuehl" w:cs="FrankRuehl"/>
          <w:sz w:val="28"/>
          <w:szCs w:val="28"/>
          <w:rtl/>
        </w:rPr>
        <w:t xml:space="preserve">עד להגשת </w:t>
      </w:r>
      <w:r w:rsidR="00817D95">
        <w:rPr>
          <w:rFonts w:ascii="FrankRuehl" w:hAnsi="FrankRuehl" w:cs="FrankRuehl"/>
          <w:sz w:val="28"/>
          <w:szCs w:val="28"/>
          <w:rtl/>
        </w:rPr>
        <w:lastRenderedPageBreak/>
        <w:t xml:space="preserve">כתב </w:t>
      </w:r>
      <w:r w:rsidR="002C602F">
        <w:rPr>
          <w:rFonts w:ascii="FrankRuehl" w:hAnsi="FrankRuehl" w:cs="FrankRuehl" w:hint="cs"/>
          <w:sz w:val="28"/>
          <w:szCs w:val="28"/>
          <w:rtl/>
        </w:rPr>
        <w:t>ה</w:t>
      </w:r>
      <w:r w:rsidR="00817D95">
        <w:rPr>
          <w:rFonts w:ascii="FrankRuehl" w:hAnsi="FrankRuehl" w:cs="FrankRuehl"/>
          <w:sz w:val="28"/>
          <w:szCs w:val="28"/>
          <w:rtl/>
        </w:rPr>
        <w:t>אישום</w:t>
      </w:r>
      <w:r w:rsidR="002C602F">
        <w:rPr>
          <w:rFonts w:ascii="FrankRuehl" w:hAnsi="FrankRuehl" w:cs="FrankRuehl" w:hint="cs"/>
          <w:sz w:val="28"/>
          <w:szCs w:val="28"/>
          <w:rtl/>
        </w:rPr>
        <w:t xml:space="preserve">. </w:t>
      </w:r>
      <w:r w:rsidR="001C627A">
        <w:rPr>
          <w:rFonts w:ascii="FrankRuehl" w:hAnsi="FrankRuehl" w:cs="FrankRuehl" w:hint="cs"/>
          <w:sz w:val="28"/>
          <w:szCs w:val="28"/>
          <w:rtl/>
        </w:rPr>
        <w:t xml:space="preserve">חומרה יתרה שיש בשיהוי במקרה זה נעוצה בעובדה שהנאשם פנה אל נציב </w:t>
      </w:r>
      <w:r w:rsidR="00F2020D">
        <w:rPr>
          <w:rFonts w:ascii="FrankRuehl" w:hAnsi="FrankRuehl" w:cs="FrankRuehl" w:hint="cs"/>
          <w:sz w:val="28"/>
          <w:szCs w:val="28"/>
          <w:rtl/>
        </w:rPr>
        <w:t>הביקורת על מערך התביעה ומייצגי המדינה בערכאות ב</w:t>
      </w:r>
      <w:r w:rsidR="001C627A">
        <w:rPr>
          <w:rFonts w:ascii="FrankRuehl" w:hAnsi="FrankRuehl" w:cs="FrankRuehl" w:hint="cs"/>
          <w:sz w:val="28"/>
          <w:szCs w:val="28"/>
          <w:rtl/>
        </w:rPr>
        <w:t>תלונ</w:t>
      </w:r>
      <w:r w:rsidR="00F2020D">
        <w:rPr>
          <w:rFonts w:ascii="FrankRuehl" w:hAnsi="FrankRuehl" w:cs="FrankRuehl" w:hint="cs"/>
          <w:sz w:val="28"/>
          <w:szCs w:val="28"/>
          <w:rtl/>
        </w:rPr>
        <w:t>ה ע</w:t>
      </w:r>
      <w:r w:rsidR="001C627A">
        <w:rPr>
          <w:rFonts w:ascii="FrankRuehl" w:hAnsi="FrankRuehl" w:cs="FrankRuehl" w:hint="cs"/>
          <w:sz w:val="28"/>
          <w:szCs w:val="28"/>
          <w:rtl/>
        </w:rPr>
        <w:t xml:space="preserve">ל השיהוי בעניינו, ואף שהנציב בהחלטתו מיום 1.01.18 מצא כי יש יסוד לתלונה (על כך לא הייתה מחלוקת אף שהחלטת הנציב לא הוגשה), </w:t>
      </w:r>
      <w:r w:rsidR="001C627A" w:rsidRPr="00F2020D">
        <w:rPr>
          <w:rFonts w:ascii="FrankRuehl" w:hAnsi="FrankRuehl" w:cs="FrankRuehl" w:hint="cs"/>
          <w:sz w:val="28"/>
          <w:szCs w:val="28"/>
          <w:rtl/>
        </w:rPr>
        <w:t xml:space="preserve">כתב האישום הוגש רק </w:t>
      </w:r>
      <w:r w:rsidR="00F2020D" w:rsidRPr="00F2020D">
        <w:rPr>
          <w:rFonts w:ascii="FrankRuehl" w:hAnsi="FrankRuehl" w:cs="FrankRuehl" w:hint="cs"/>
          <w:sz w:val="28"/>
          <w:szCs w:val="28"/>
          <w:rtl/>
        </w:rPr>
        <w:t xml:space="preserve">בחלוף יותר משנתיים וחצי, </w:t>
      </w:r>
      <w:r w:rsidR="001C627A" w:rsidRPr="00F2020D">
        <w:rPr>
          <w:rFonts w:ascii="FrankRuehl" w:hAnsi="FrankRuehl" w:cs="FrankRuehl" w:hint="cs"/>
          <w:sz w:val="28"/>
          <w:szCs w:val="28"/>
          <w:rtl/>
        </w:rPr>
        <w:t>ביום 29.06.</w:t>
      </w:r>
      <w:r w:rsidR="00F2020D" w:rsidRPr="00F2020D">
        <w:rPr>
          <w:rFonts w:ascii="FrankRuehl" w:hAnsi="FrankRuehl" w:cs="FrankRuehl" w:hint="cs"/>
          <w:sz w:val="28"/>
          <w:szCs w:val="28"/>
          <w:rtl/>
        </w:rPr>
        <w:t xml:space="preserve">20. </w:t>
      </w:r>
    </w:p>
    <w:p w:rsidR="001C627A" w:rsidRDefault="001C627A" w:rsidP="001C627A">
      <w:pPr>
        <w:spacing w:after="160" w:line="360" w:lineRule="auto"/>
        <w:jc w:val="both"/>
        <w:rPr>
          <w:rFonts w:ascii="FrankRuehl" w:hAnsi="FrankRuehl" w:cs="FrankRuehl"/>
          <w:sz w:val="28"/>
          <w:szCs w:val="28"/>
          <w:rtl/>
        </w:rPr>
      </w:pPr>
    </w:p>
    <w:p w:rsidR="00644BC7" w:rsidRDefault="00F91B51" w:rsidP="003053F2">
      <w:pPr>
        <w:spacing w:line="360" w:lineRule="auto"/>
        <w:jc w:val="both"/>
        <w:rPr>
          <w:rFonts w:ascii="FrankRuehl" w:eastAsia="Calibri" w:hAnsi="FrankRuehl" w:cs="FrankRuehl"/>
          <w:color w:val="000000"/>
          <w:sz w:val="28"/>
          <w:szCs w:val="28"/>
          <w:rtl/>
        </w:rPr>
      </w:pPr>
      <w:r>
        <w:rPr>
          <w:rFonts w:ascii="FrankRuehl" w:eastAsia="Calibri" w:hAnsi="FrankRuehl" w:cs="FrankRuehl" w:hint="cs"/>
          <w:color w:val="000000"/>
          <w:sz w:val="28"/>
          <w:szCs w:val="28"/>
          <w:rtl/>
        </w:rPr>
        <w:t>92.</w:t>
      </w:r>
      <w:r>
        <w:rPr>
          <w:rFonts w:ascii="FrankRuehl" w:eastAsia="Calibri" w:hAnsi="FrankRuehl" w:cs="FrankRuehl" w:hint="cs"/>
          <w:color w:val="000000"/>
          <w:sz w:val="28"/>
          <w:szCs w:val="28"/>
          <w:rtl/>
        </w:rPr>
        <w:tab/>
      </w:r>
      <w:r w:rsidR="00644BC7">
        <w:rPr>
          <w:rFonts w:ascii="FrankRuehl" w:eastAsia="Calibri" w:hAnsi="FrankRuehl" w:cs="FrankRuehl" w:hint="cs"/>
          <w:color w:val="000000"/>
          <w:sz w:val="28"/>
          <w:szCs w:val="28"/>
          <w:rtl/>
        </w:rPr>
        <w:t xml:space="preserve">לא פעם, </w:t>
      </w:r>
      <w:r w:rsidR="003053F2">
        <w:rPr>
          <w:rFonts w:ascii="FrankRuehl" w:eastAsia="Calibri" w:hAnsi="FrankRuehl" w:cs="FrankRuehl" w:hint="cs"/>
          <w:color w:val="000000"/>
          <w:sz w:val="28"/>
          <w:szCs w:val="28"/>
          <w:rtl/>
        </w:rPr>
        <w:t xml:space="preserve">קיים </w:t>
      </w:r>
      <w:r w:rsidR="00644BC7">
        <w:rPr>
          <w:rFonts w:ascii="FrankRuehl" w:eastAsia="Calibri" w:hAnsi="FrankRuehl" w:cs="FrankRuehl" w:hint="cs"/>
          <w:color w:val="000000"/>
          <w:sz w:val="28"/>
          <w:szCs w:val="28"/>
          <w:rtl/>
        </w:rPr>
        <w:t xml:space="preserve">הסבר לחלוף הזמן מביצוע העבירות ועד להגשת כתב האישום. לעיתים חלוף הזמן, גם אם הוא מובן ומוצדק, יש בו כדי להצדיק הקלה בעונשו של נאשם. במקרה זה מדובר בשיהוי בלתי מוסבר, כשבכל הזמן הזה, הנאשם לא אך אינו יודע מה יהיה בגורלו, אלא שהוא בפועל מושעה מהשירות הציבורי, ומקבל משכורת חלקית בלבד. </w:t>
      </w:r>
    </w:p>
    <w:p w:rsidR="00644BC7" w:rsidRDefault="00644BC7" w:rsidP="002C602F">
      <w:pPr>
        <w:spacing w:after="160" w:line="360" w:lineRule="auto"/>
        <w:jc w:val="both"/>
        <w:rPr>
          <w:rFonts w:ascii="FrankRuehl" w:hAnsi="FrankRuehl" w:cs="FrankRuehl"/>
          <w:sz w:val="28"/>
          <w:szCs w:val="28"/>
          <w:rtl/>
        </w:rPr>
      </w:pPr>
    </w:p>
    <w:p w:rsidR="00FD4475" w:rsidRPr="00FD4475" w:rsidRDefault="00F91B51" w:rsidP="00FD4475">
      <w:pPr>
        <w:spacing w:after="160" w:line="360" w:lineRule="auto"/>
        <w:jc w:val="both"/>
        <w:rPr>
          <w:rFonts w:ascii="FrankRuehl" w:eastAsia="Calibri" w:hAnsi="FrankRuehl" w:cs="FrankRuehl"/>
          <w:color w:val="000000"/>
          <w:sz w:val="28"/>
          <w:szCs w:val="28"/>
          <w:rtl/>
        </w:rPr>
      </w:pPr>
      <w:r>
        <w:rPr>
          <w:rFonts w:ascii="FrankRuehl" w:hAnsi="FrankRuehl" w:cs="FrankRuehl" w:hint="cs"/>
          <w:sz w:val="28"/>
          <w:szCs w:val="28"/>
          <w:rtl/>
        </w:rPr>
        <w:t>93.</w:t>
      </w:r>
      <w:r>
        <w:rPr>
          <w:rFonts w:ascii="FrankRuehl" w:hAnsi="FrankRuehl" w:cs="FrankRuehl" w:hint="cs"/>
          <w:sz w:val="28"/>
          <w:szCs w:val="28"/>
          <w:rtl/>
        </w:rPr>
        <w:tab/>
      </w:r>
      <w:r w:rsidR="00D508C1">
        <w:rPr>
          <w:rFonts w:ascii="FrankRuehl" w:hAnsi="FrankRuehl" w:cs="FrankRuehl"/>
          <w:sz w:val="28"/>
          <w:szCs w:val="28"/>
          <w:rtl/>
        </w:rPr>
        <w:t>שיהוי זה</w:t>
      </w:r>
      <w:r w:rsidR="00FD4475">
        <w:rPr>
          <w:rFonts w:ascii="FrankRuehl" w:hAnsi="FrankRuehl" w:cs="FrankRuehl" w:hint="cs"/>
          <w:sz w:val="28"/>
          <w:szCs w:val="28"/>
          <w:rtl/>
        </w:rPr>
        <w:t xml:space="preserve">, אמנם לא היה בו </w:t>
      </w:r>
      <w:r w:rsidR="00D508C1">
        <w:rPr>
          <w:rFonts w:ascii="FrankRuehl" w:hAnsi="FrankRuehl" w:cs="FrankRuehl"/>
          <w:sz w:val="28"/>
          <w:szCs w:val="28"/>
          <w:rtl/>
        </w:rPr>
        <w:t>כדי להביא לביטול כתב האישום או לזיכוי הנאשם בשל הגנה מן הצדק</w:t>
      </w:r>
      <w:r w:rsidR="002C602F">
        <w:rPr>
          <w:rFonts w:ascii="FrankRuehl" w:hAnsi="FrankRuehl" w:cs="FrankRuehl" w:hint="cs"/>
          <w:sz w:val="28"/>
          <w:szCs w:val="28"/>
          <w:rtl/>
        </w:rPr>
        <w:t xml:space="preserve">, בפרט </w:t>
      </w:r>
      <w:r w:rsidR="00D508C1">
        <w:rPr>
          <w:rFonts w:ascii="FrankRuehl" w:eastAsia="Calibri" w:hAnsi="FrankRuehl" w:cs="FrankRuehl"/>
          <w:color w:val="000000"/>
          <w:sz w:val="28"/>
          <w:szCs w:val="28"/>
          <w:rtl/>
        </w:rPr>
        <w:t>בשים לב לכך שמדובר ב</w:t>
      </w:r>
      <w:r w:rsidR="002C602F">
        <w:rPr>
          <w:rFonts w:ascii="FrankRuehl" w:eastAsia="Calibri" w:hAnsi="FrankRuehl" w:cs="FrankRuehl" w:hint="cs"/>
          <w:color w:val="000000"/>
          <w:sz w:val="28"/>
          <w:szCs w:val="28"/>
          <w:rtl/>
        </w:rPr>
        <w:t xml:space="preserve">מספר עבירות </w:t>
      </w:r>
      <w:r w:rsidR="00D508C1">
        <w:rPr>
          <w:rFonts w:ascii="FrankRuehl" w:eastAsia="Calibri" w:hAnsi="FrankRuehl" w:cs="FrankRuehl"/>
          <w:color w:val="000000"/>
          <w:sz w:val="28"/>
          <w:szCs w:val="28"/>
          <w:rtl/>
        </w:rPr>
        <w:t>חמור</w:t>
      </w:r>
      <w:r w:rsidR="002C602F">
        <w:rPr>
          <w:rFonts w:ascii="FrankRuehl" w:eastAsia="Calibri" w:hAnsi="FrankRuehl" w:cs="FrankRuehl" w:hint="cs"/>
          <w:color w:val="000000"/>
          <w:sz w:val="28"/>
          <w:szCs w:val="28"/>
          <w:rtl/>
        </w:rPr>
        <w:t>ות</w:t>
      </w:r>
      <w:r w:rsidR="00D508C1">
        <w:rPr>
          <w:rFonts w:ascii="FrankRuehl" w:eastAsia="Calibri" w:hAnsi="FrankRuehl" w:cs="FrankRuehl"/>
          <w:color w:val="000000"/>
          <w:sz w:val="28"/>
          <w:szCs w:val="28"/>
          <w:rtl/>
        </w:rPr>
        <w:t xml:space="preserve"> של לקיחת שוחד מיני</w:t>
      </w:r>
      <w:r w:rsidR="002C602F">
        <w:rPr>
          <w:rFonts w:ascii="FrankRuehl" w:eastAsia="Calibri" w:hAnsi="FrankRuehl" w:cs="FrankRuehl" w:hint="cs"/>
          <w:color w:val="000000"/>
          <w:sz w:val="28"/>
          <w:szCs w:val="28"/>
          <w:rtl/>
        </w:rPr>
        <w:t xml:space="preserve">. ואולם, יש לתת לכך משקל של ממש </w:t>
      </w:r>
      <w:r w:rsidR="00D508C1">
        <w:rPr>
          <w:rFonts w:ascii="FrankRuehl" w:eastAsia="Calibri" w:hAnsi="FrankRuehl" w:cs="FrankRuehl"/>
          <w:color w:val="000000"/>
          <w:sz w:val="28"/>
          <w:szCs w:val="28"/>
          <w:rtl/>
        </w:rPr>
        <w:t>במסגרת</w:t>
      </w:r>
      <w:r w:rsidR="002C602F">
        <w:rPr>
          <w:rFonts w:ascii="FrankRuehl" w:eastAsia="Calibri" w:hAnsi="FrankRuehl" w:cs="FrankRuehl" w:hint="cs"/>
          <w:color w:val="000000"/>
          <w:sz w:val="28"/>
          <w:szCs w:val="28"/>
          <w:rtl/>
        </w:rPr>
        <w:t xml:space="preserve"> זו של</w:t>
      </w:r>
      <w:r w:rsidR="00D508C1">
        <w:rPr>
          <w:rFonts w:ascii="FrankRuehl" w:eastAsia="Calibri" w:hAnsi="FrankRuehl" w:cs="FrankRuehl"/>
          <w:color w:val="000000"/>
          <w:sz w:val="28"/>
          <w:szCs w:val="28"/>
          <w:rtl/>
        </w:rPr>
        <w:t xml:space="preserve"> גזר הדין. </w:t>
      </w:r>
      <w:r w:rsidR="00FD4475">
        <w:rPr>
          <w:rFonts w:ascii="FrankRuehl" w:eastAsia="Calibri" w:hAnsi="FrankRuehl" w:cs="FrankRuehl"/>
          <w:color w:val="000000"/>
          <w:sz w:val="28"/>
          <w:szCs w:val="28"/>
          <w:rtl/>
        </w:rPr>
        <w:t xml:space="preserve">בהנחיית היועץ המשפטי לממשלה באשר ל"משך טיפול התביעה עד להגשת כתב אישום" (הנחייה מס' 4.1202 מחודש אוגוסט 2010) נקבע כעניין שבמדיניות, שחלוף זמן רב מאז החלה החקירה עשוי לעיתים להיות שיקול לסגירה של תיק פלילי או להימנע מהגשת ערעור, כאשר השיהוי נגרם בשל אופן הטיפול בתיק על ידי המשטרה או הפרקליטות. </w:t>
      </w:r>
      <w:r w:rsidR="00FD4475">
        <w:rPr>
          <w:rFonts w:ascii="FrankRuehl" w:eastAsia="Calibri" w:hAnsi="FrankRuehl" w:cs="FrankRuehl" w:hint="cs"/>
          <w:color w:val="000000"/>
          <w:sz w:val="28"/>
          <w:szCs w:val="28"/>
          <w:rtl/>
        </w:rPr>
        <w:t>אם כן, הוא בוודאי מצדיק הקלה משמעותית בעניין העונש. הטעם לכך נעוץ, לא אך בכך ש</w:t>
      </w:r>
      <w:r w:rsidR="00FD4475" w:rsidRPr="00FD4475">
        <w:rPr>
          <w:rFonts w:ascii="FrankRuehl" w:eastAsia="Calibri" w:hAnsi="FrankRuehl" w:cs="FrankRuehl" w:hint="cs"/>
          <w:color w:val="000000"/>
          <w:sz w:val="28"/>
          <w:szCs w:val="28"/>
          <w:rtl/>
        </w:rPr>
        <w:t xml:space="preserve">בחלוף זמן רב כל כך </w:t>
      </w:r>
      <w:r w:rsidR="00612839" w:rsidRPr="00FD4475">
        <w:rPr>
          <w:rFonts w:ascii="FrankRuehl" w:eastAsia="Calibri" w:hAnsi="FrankRuehl" w:cs="FrankRuehl"/>
          <w:color w:val="000000"/>
          <w:sz w:val="28"/>
          <w:szCs w:val="28"/>
          <w:rtl/>
        </w:rPr>
        <w:t>היבט ההרתעה מאבד מכוחו</w:t>
      </w:r>
      <w:r w:rsidR="00FD4475" w:rsidRPr="00FD4475">
        <w:rPr>
          <w:rFonts w:ascii="FrankRuehl" w:eastAsia="Calibri" w:hAnsi="FrankRuehl" w:cs="FrankRuehl" w:hint="cs"/>
          <w:color w:val="000000"/>
          <w:sz w:val="28"/>
          <w:szCs w:val="28"/>
          <w:rtl/>
        </w:rPr>
        <w:t xml:space="preserve">, אלא בכך שהנאשם כבר </w:t>
      </w:r>
      <w:r w:rsidR="00612839" w:rsidRPr="00FD4475">
        <w:rPr>
          <w:rFonts w:ascii="FrankRuehl" w:eastAsia="Calibri" w:hAnsi="FrankRuehl" w:cs="FrankRuehl"/>
          <w:color w:val="000000"/>
          <w:sz w:val="28"/>
          <w:szCs w:val="28"/>
          <w:rtl/>
        </w:rPr>
        <w:t>נשא בחלק לא מבוטל מעונשו, כאשר חרב הדין התהפכה מעל לראשו ופגעה באורחות חייו וחיי משפחתו במשך תקופה ארוכה</w:t>
      </w:r>
      <w:r w:rsidR="00FD4475" w:rsidRPr="00FD4475">
        <w:rPr>
          <w:rFonts w:ascii="FrankRuehl" w:eastAsia="Calibri" w:hAnsi="FrankRuehl" w:cs="FrankRuehl" w:hint="cs"/>
          <w:color w:val="000000"/>
          <w:sz w:val="28"/>
          <w:szCs w:val="28"/>
          <w:rtl/>
        </w:rPr>
        <w:t xml:space="preserve">. בפרט, כאשר </w:t>
      </w:r>
      <w:r w:rsidR="00612839" w:rsidRPr="00FD4475">
        <w:rPr>
          <w:rFonts w:ascii="FrankRuehl" w:eastAsia="Calibri" w:hAnsi="FrankRuehl" w:cs="FrankRuehl"/>
          <w:color w:val="000000"/>
          <w:sz w:val="28"/>
          <w:szCs w:val="28"/>
          <w:rtl/>
        </w:rPr>
        <w:t xml:space="preserve">הנאשם זוכה מחלק </w:t>
      </w:r>
      <w:r w:rsidR="00FD4475" w:rsidRPr="00FD4475">
        <w:rPr>
          <w:rFonts w:ascii="FrankRuehl" w:eastAsia="Calibri" w:hAnsi="FrankRuehl" w:cs="FrankRuehl" w:hint="cs"/>
          <w:color w:val="000000"/>
          <w:sz w:val="28"/>
          <w:szCs w:val="28"/>
          <w:rtl/>
        </w:rPr>
        <w:t xml:space="preserve">לא מבוטל מהעבירות </w:t>
      </w:r>
      <w:r w:rsidR="00612839" w:rsidRPr="00FD4475">
        <w:rPr>
          <w:rFonts w:ascii="FrankRuehl" w:eastAsia="Calibri" w:hAnsi="FrankRuehl" w:cs="FrankRuehl"/>
          <w:color w:val="000000"/>
          <w:sz w:val="28"/>
          <w:szCs w:val="28"/>
          <w:rtl/>
        </w:rPr>
        <w:t>בהן הואשם</w:t>
      </w:r>
      <w:r w:rsidR="00FD4475" w:rsidRPr="00FD4475">
        <w:rPr>
          <w:rFonts w:ascii="FrankRuehl" w:eastAsia="Calibri" w:hAnsi="FrankRuehl" w:cs="FrankRuehl" w:hint="cs"/>
          <w:color w:val="000000"/>
          <w:sz w:val="28"/>
          <w:szCs w:val="28"/>
          <w:rtl/>
        </w:rPr>
        <w:t>.</w:t>
      </w:r>
    </w:p>
    <w:p w:rsidR="00FD4475" w:rsidRPr="00C62FD7" w:rsidRDefault="00FD4475" w:rsidP="00FD4475">
      <w:pPr>
        <w:spacing w:after="160" w:line="360" w:lineRule="auto"/>
        <w:jc w:val="both"/>
        <w:rPr>
          <w:rFonts w:ascii="FrankRuehl" w:eastAsia="Calibri" w:hAnsi="FrankRuehl" w:cs="FrankRuehl"/>
          <w:color w:val="000000"/>
          <w:sz w:val="28"/>
          <w:szCs w:val="28"/>
          <w:rtl/>
        </w:rPr>
      </w:pPr>
    </w:p>
    <w:p w:rsidR="00BD5CCC" w:rsidRDefault="00F91B51" w:rsidP="000860D1">
      <w:pPr>
        <w:spacing w:after="160" w:line="360" w:lineRule="auto"/>
        <w:jc w:val="both"/>
        <w:rPr>
          <w:rFonts w:ascii="FrankRuehl" w:eastAsia="Calibri" w:hAnsi="FrankRuehl" w:cs="FrankRuehl"/>
          <w:color w:val="000000"/>
          <w:sz w:val="28"/>
          <w:szCs w:val="28"/>
          <w:rtl/>
        </w:rPr>
      </w:pPr>
      <w:r>
        <w:rPr>
          <w:rFonts w:ascii="FrankRuehl" w:eastAsia="Calibri" w:hAnsi="FrankRuehl" w:cs="FrankRuehl" w:hint="cs"/>
          <w:color w:val="000000"/>
          <w:sz w:val="28"/>
          <w:szCs w:val="28"/>
          <w:rtl/>
        </w:rPr>
        <w:t>94.</w:t>
      </w:r>
      <w:r>
        <w:rPr>
          <w:rFonts w:ascii="FrankRuehl" w:eastAsia="Calibri" w:hAnsi="FrankRuehl" w:cs="FrankRuehl" w:hint="cs"/>
          <w:color w:val="000000"/>
          <w:sz w:val="28"/>
          <w:szCs w:val="28"/>
          <w:rtl/>
        </w:rPr>
        <w:tab/>
      </w:r>
      <w:r w:rsidR="00FD4475" w:rsidRPr="00C62FD7">
        <w:rPr>
          <w:rFonts w:ascii="FrankRuehl" w:eastAsia="Calibri" w:hAnsi="FrankRuehl" w:cs="FrankRuehl" w:hint="cs"/>
          <w:color w:val="000000"/>
          <w:sz w:val="28"/>
          <w:szCs w:val="28"/>
          <w:rtl/>
        </w:rPr>
        <w:t xml:space="preserve">נסיבות אלו של השיהוי, </w:t>
      </w:r>
      <w:r w:rsidR="000860D1">
        <w:rPr>
          <w:rFonts w:ascii="FrankRuehl" w:eastAsia="Calibri" w:hAnsi="FrankRuehl" w:cs="FrankRuehl" w:hint="cs"/>
          <w:color w:val="000000"/>
          <w:sz w:val="28"/>
          <w:szCs w:val="28"/>
          <w:rtl/>
        </w:rPr>
        <w:t>לא אך ש</w:t>
      </w:r>
      <w:r w:rsidR="000860D1" w:rsidRPr="00C62FD7">
        <w:rPr>
          <w:rFonts w:ascii="FrankRuehl" w:eastAsia="Calibri" w:hAnsi="FrankRuehl" w:cs="FrankRuehl" w:hint="cs"/>
          <w:color w:val="000000"/>
          <w:sz w:val="28"/>
          <w:szCs w:val="28"/>
          <w:rtl/>
        </w:rPr>
        <w:t xml:space="preserve">יש בהן כדי להביא לסטות מהעונש שהיה ראוי לנאשם אלמלא השיהוי, </w:t>
      </w:r>
      <w:r w:rsidR="000860D1">
        <w:rPr>
          <w:rFonts w:ascii="FrankRuehl" w:eastAsia="Calibri" w:hAnsi="FrankRuehl" w:cs="FrankRuehl" w:hint="cs"/>
          <w:color w:val="000000"/>
          <w:sz w:val="28"/>
          <w:szCs w:val="28"/>
          <w:rtl/>
        </w:rPr>
        <w:t>אלא ש</w:t>
      </w:r>
      <w:r w:rsidR="00FD4475" w:rsidRPr="00C62FD7">
        <w:rPr>
          <w:rFonts w:ascii="FrankRuehl" w:eastAsia="Calibri" w:hAnsi="FrankRuehl" w:cs="FrankRuehl" w:hint="cs"/>
          <w:color w:val="000000"/>
          <w:sz w:val="28"/>
          <w:szCs w:val="28"/>
          <w:rtl/>
        </w:rPr>
        <w:t xml:space="preserve">גם </w:t>
      </w:r>
      <w:r w:rsidR="000860D1">
        <w:rPr>
          <w:rFonts w:ascii="FrankRuehl" w:eastAsia="Calibri" w:hAnsi="FrankRuehl" w:cs="FrankRuehl" w:hint="cs"/>
          <w:color w:val="000000"/>
          <w:sz w:val="28"/>
          <w:szCs w:val="28"/>
          <w:rtl/>
        </w:rPr>
        <w:t xml:space="preserve">היה </w:t>
      </w:r>
      <w:r w:rsidR="00FD4475" w:rsidRPr="00C62FD7">
        <w:rPr>
          <w:rFonts w:ascii="FrankRuehl" w:eastAsia="Calibri" w:hAnsi="FrankRuehl" w:cs="FrankRuehl" w:hint="cs"/>
          <w:color w:val="000000"/>
          <w:sz w:val="28"/>
          <w:szCs w:val="28"/>
          <w:rtl/>
        </w:rPr>
        <w:t xml:space="preserve">בהן כדי להצדיק סטייה ממתחם העונש ההולם, </w:t>
      </w:r>
      <w:r w:rsidR="000860D1">
        <w:rPr>
          <w:rFonts w:ascii="FrankRuehl" w:eastAsia="Calibri" w:hAnsi="FrankRuehl" w:cs="FrankRuehl" w:hint="cs"/>
          <w:color w:val="000000"/>
          <w:sz w:val="28"/>
          <w:szCs w:val="28"/>
          <w:rtl/>
        </w:rPr>
        <w:t xml:space="preserve">במידה והרף התחתון של המתחם היה כולל בהכרח מאסר בפועל, </w:t>
      </w:r>
      <w:r w:rsidR="0046623A" w:rsidRPr="00C62FD7">
        <w:rPr>
          <w:rFonts w:ascii="FrankRuehl" w:eastAsia="Calibri" w:hAnsi="FrankRuehl" w:cs="FrankRuehl" w:hint="cs"/>
          <w:color w:val="000000"/>
          <w:sz w:val="28"/>
          <w:szCs w:val="28"/>
          <w:rtl/>
        </w:rPr>
        <w:t>באופן ש</w:t>
      </w:r>
      <w:r w:rsidR="000860D1">
        <w:rPr>
          <w:rFonts w:ascii="FrankRuehl" w:eastAsia="Calibri" w:hAnsi="FrankRuehl" w:cs="FrankRuehl" w:hint="cs"/>
          <w:color w:val="000000"/>
          <w:sz w:val="28"/>
          <w:szCs w:val="28"/>
          <w:rtl/>
        </w:rPr>
        <w:t xml:space="preserve">נוכח השיהוי </w:t>
      </w:r>
      <w:r w:rsidR="0046623A" w:rsidRPr="00C62FD7">
        <w:rPr>
          <w:rFonts w:ascii="FrankRuehl" w:eastAsia="Calibri" w:hAnsi="FrankRuehl" w:cs="FrankRuehl" w:hint="cs"/>
          <w:color w:val="000000"/>
          <w:sz w:val="28"/>
          <w:szCs w:val="28"/>
          <w:rtl/>
        </w:rPr>
        <w:t>הנאשם לא ירצה עונש מאסר מאחורי סורג ובריח כיום, שבע שנים מאז ביצוע העבירות</w:t>
      </w:r>
      <w:r w:rsidR="00BD5CCC">
        <w:rPr>
          <w:rFonts w:ascii="FrankRuehl" w:eastAsia="Calibri" w:hAnsi="FrankRuehl" w:cs="FrankRuehl" w:hint="cs"/>
          <w:color w:val="000000"/>
          <w:sz w:val="28"/>
          <w:szCs w:val="28"/>
          <w:rtl/>
        </w:rPr>
        <w:t>, תקופה שהצטברה נוכח ההשתהות הרבה של המאשימה בהגשת כתב האישום ללא הסבר</w:t>
      </w:r>
      <w:r w:rsidR="00C62FD7">
        <w:rPr>
          <w:rFonts w:ascii="FrankRuehl" w:eastAsia="Calibri" w:hAnsi="FrankRuehl" w:cs="FrankRuehl" w:hint="cs"/>
          <w:color w:val="000000"/>
          <w:sz w:val="28"/>
          <w:szCs w:val="28"/>
          <w:rtl/>
        </w:rPr>
        <w:t xml:space="preserve"> (השוו: </w:t>
      </w:r>
      <w:r w:rsidR="00324021" w:rsidRPr="00C62FD7">
        <w:rPr>
          <w:rFonts w:ascii="FrankRuehl" w:eastAsia="Calibri" w:hAnsi="FrankRuehl" w:cs="FrankRuehl"/>
          <w:color w:val="000000"/>
          <w:sz w:val="28"/>
          <w:szCs w:val="28"/>
          <w:rtl/>
        </w:rPr>
        <w:t>ע</w:t>
      </w:r>
      <w:r w:rsidR="00C62FD7">
        <w:rPr>
          <w:rFonts w:ascii="FrankRuehl" w:eastAsia="Calibri" w:hAnsi="FrankRuehl" w:cs="FrankRuehl" w:hint="cs"/>
          <w:color w:val="000000"/>
          <w:sz w:val="28"/>
          <w:szCs w:val="28"/>
          <w:rtl/>
        </w:rPr>
        <w:t>"</w:t>
      </w:r>
      <w:r w:rsidR="00324021" w:rsidRPr="00C62FD7">
        <w:rPr>
          <w:rFonts w:ascii="FrankRuehl" w:eastAsia="Calibri" w:hAnsi="FrankRuehl" w:cs="FrankRuehl"/>
          <w:color w:val="000000"/>
          <w:sz w:val="28"/>
          <w:szCs w:val="28"/>
          <w:rtl/>
        </w:rPr>
        <w:t>פ 5836/16 ‏</w:t>
      </w:r>
      <w:r w:rsidR="00324021" w:rsidRPr="00C62FD7">
        <w:rPr>
          <w:rFonts w:ascii="FrankRuehl" w:eastAsia="Calibri" w:hAnsi="FrankRuehl" w:cs="FrankRuehl"/>
          <w:b/>
          <w:bCs/>
          <w:color w:val="000000"/>
          <w:sz w:val="28"/>
          <w:szCs w:val="28"/>
          <w:rtl/>
        </w:rPr>
        <w:t>רובינסון נ' מדינת ישראל</w:t>
      </w:r>
      <w:r w:rsidR="00324021" w:rsidRPr="00C62FD7">
        <w:rPr>
          <w:rFonts w:ascii="FrankRuehl" w:eastAsia="Calibri" w:hAnsi="FrankRuehl" w:cs="FrankRuehl" w:hint="cs"/>
          <w:color w:val="000000"/>
          <w:sz w:val="28"/>
          <w:szCs w:val="28"/>
          <w:rtl/>
        </w:rPr>
        <w:t xml:space="preserve"> (7.01.18)</w:t>
      </w:r>
      <w:r w:rsidR="00C62FD7">
        <w:rPr>
          <w:rFonts w:ascii="FrankRuehl" w:eastAsia="Calibri" w:hAnsi="FrankRuehl" w:cs="FrankRuehl" w:hint="cs"/>
          <w:color w:val="000000"/>
          <w:sz w:val="28"/>
          <w:szCs w:val="28"/>
          <w:rtl/>
        </w:rPr>
        <w:t xml:space="preserve">; ע"פ 7621/14 </w:t>
      </w:r>
      <w:r w:rsidR="00324021" w:rsidRPr="00C62FD7">
        <w:rPr>
          <w:rFonts w:ascii="FrankRuehl" w:eastAsia="Calibri" w:hAnsi="FrankRuehl" w:cs="FrankRuehl"/>
          <w:b/>
          <w:bCs/>
          <w:color w:val="000000"/>
          <w:sz w:val="28"/>
          <w:szCs w:val="28"/>
          <w:rtl/>
        </w:rPr>
        <w:t>גוטסדינר נ' מדינת ישראל </w:t>
      </w:r>
      <w:r w:rsidR="00324021" w:rsidRPr="00C62FD7">
        <w:rPr>
          <w:rFonts w:ascii="FrankRuehl" w:eastAsia="Calibri" w:hAnsi="FrankRuehl" w:cs="FrankRuehl"/>
          <w:color w:val="000000"/>
          <w:sz w:val="28"/>
          <w:szCs w:val="28"/>
          <w:rtl/>
        </w:rPr>
        <w:t>(1.</w:t>
      </w:r>
      <w:r w:rsidR="00C62FD7">
        <w:rPr>
          <w:rFonts w:ascii="FrankRuehl" w:eastAsia="Calibri" w:hAnsi="FrankRuehl" w:cs="FrankRuehl" w:hint="cs"/>
          <w:color w:val="000000"/>
          <w:sz w:val="28"/>
          <w:szCs w:val="28"/>
          <w:rtl/>
        </w:rPr>
        <w:t>0</w:t>
      </w:r>
      <w:r w:rsidR="00324021" w:rsidRPr="00C62FD7">
        <w:rPr>
          <w:rFonts w:ascii="FrankRuehl" w:eastAsia="Calibri" w:hAnsi="FrankRuehl" w:cs="FrankRuehl"/>
          <w:color w:val="000000"/>
          <w:sz w:val="28"/>
          <w:szCs w:val="28"/>
          <w:rtl/>
        </w:rPr>
        <w:t>3.17)</w:t>
      </w:r>
      <w:r w:rsidR="00C62FD7">
        <w:rPr>
          <w:rFonts w:ascii="FrankRuehl" w:eastAsia="Calibri" w:hAnsi="FrankRuehl" w:cs="FrankRuehl" w:hint="cs"/>
          <w:color w:val="000000"/>
          <w:sz w:val="28"/>
          <w:szCs w:val="28"/>
          <w:rtl/>
        </w:rPr>
        <w:t xml:space="preserve">). </w:t>
      </w:r>
    </w:p>
    <w:p w:rsidR="00BD5CCC" w:rsidRDefault="00BD5CCC" w:rsidP="000860D1">
      <w:pPr>
        <w:spacing w:after="160" w:line="360" w:lineRule="auto"/>
        <w:jc w:val="both"/>
        <w:rPr>
          <w:rFonts w:ascii="FrankRuehl" w:eastAsia="Calibri" w:hAnsi="FrankRuehl" w:cs="FrankRuehl"/>
          <w:color w:val="000000"/>
          <w:sz w:val="28"/>
          <w:szCs w:val="28"/>
          <w:rtl/>
        </w:rPr>
      </w:pPr>
    </w:p>
    <w:p w:rsidR="0083611D" w:rsidRDefault="00BD5CCC" w:rsidP="00B70D04">
      <w:pPr>
        <w:spacing w:after="160" w:line="360" w:lineRule="auto"/>
        <w:jc w:val="both"/>
        <w:rPr>
          <w:rFonts w:ascii="FrankRuehl" w:eastAsia="Calibri" w:hAnsi="FrankRuehl" w:cs="FrankRuehl"/>
          <w:color w:val="000000"/>
          <w:sz w:val="28"/>
          <w:szCs w:val="28"/>
          <w:rtl/>
        </w:rPr>
      </w:pPr>
      <w:r>
        <w:rPr>
          <w:rFonts w:ascii="FrankRuehl" w:eastAsia="Calibri" w:hAnsi="FrankRuehl" w:cs="FrankRuehl" w:hint="cs"/>
          <w:color w:val="000000"/>
          <w:sz w:val="28"/>
          <w:szCs w:val="28"/>
          <w:rtl/>
        </w:rPr>
        <w:t>95.</w:t>
      </w:r>
      <w:r>
        <w:rPr>
          <w:rFonts w:ascii="FrankRuehl" w:eastAsia="Calibri" w:hAnsi="FrankRuehl" w:cs="FrankRuehl" w:hint="cs"/>
          <w:color w:val="000000"/>
          <w:sz w:val="28"/>
          <w:szCs w:val="28"/>
          <w:rtl/>
        </w:rPr>
        <w:tab/>
        <w:t xml:space="preserve">יוטעם, כי אף אם ברגיל חלוף הזמן מעת ביצוע העבירה ואף התנהגות רשויות אכיפת החוק, יש בהן כדי להוות נסיבות המשפיעות על גזירת עונשו של נאשם בתוך מתחם העונש ההולם, כאמור בסעיף 40יא(9) ו-(10); מקום בו השיהוי בו נקטה המאשימה עולה כדי הגנה מן הצדק, הרי שיש בו גם להצדיק חריגה מהמתחם. זאת בשים לב כי בהתאם להוראת סעיף </w:t>
      </w:r>
      <w:r w:rsidR="0083611D">
        <w:rPr>
          <w:rFonts w:ascii="FrankRuehl" w:eastAsia="Calibri" w:hAnsi="FrankRuehl" w:cs="FrankRuehl" w:hint="cs"/>
          <w:color w:val="000000"/>
          <w:sz w:val="28"/>
          <w:szCs w:val="28"/>
          <w:rtl/>
        </w:rPr>
        <w:t xml:space="preserve">150 לחוק סדר הדין הפלילי [נוסח משולב], התשמ"ב-1982, במקרה בו נתקבלה טענה של הגנה מן הצדק, לפי סעיף 149(10) לאותו חוק, בית המשפט מוסמך אף לבטל את כתב האישום בשל כך. </w:t>
      </w:r>
      <w:r w:rsidR="00B70D04">
        <w:rPr>
          <w:rFonts w:ascii="FrankRuehl" w:eastAsia="Calibri" w:hAnsi="FrankRuehl" w:cs="FrankRuehl" w:hint="cs"/>
          <w:color w:val="000000"/>
          <w:sz w:val="28"/>
          <w:szCs w:val="28"/>
          <w:rtl/>
        </w:rPr>
        <w:t xml:space="preserve">אם כן "בכלל מאתיים </w:t>
      </w:r>
      <w:r w:rsidR="00B70D04">
        <w:rPr>
          <w:rFonts w:ascii="FrankRuehl" w:eastAsia="Calibri" w:hAnsi="FrankRuehl" w:cs="FrankRuehl"/>
          <w:color w:val="000000"/>
          <w:sz w:val="28"/>
          <w:szCs w:val="28"/>
          <w:rtl/>
        </w:rPr>
        <w:t>–</w:t>
      </w:r>
      <w:r w:rsidR="00B70D04">
        <w:rPr>
          <w:rFonts w:ascii="FrankRuehl" w:eastAsia="Calibri" w:hAnsi="FrankRuehl" w:cs="FrankRuehl" w:hint="cs"/>
          <w:color w:val="000000"/>
          <w:sz w:val="28"/>
          <w:szCs w:val="28"/>
          <w:rtl/>
        </w:rPr>
        <w:t xml:space="preserve"> מנה" ו</w:t>
      </w:r>
      <w:r w:rsidR="0083611D">
        <w:rPr>
          <w:rFonts w:ascii="FrankRuehl" w:eastAsia="Calibri" w:hAnsi="FrankRuehl" w:cs="FrankRuehl" w:hint="cs"/>
          <w:color w:val="000000"/>
          <w:sz w:val="28"/>
          <w:szCs w:val="28"/>
          <w:rtl/>
        </w:rPr>
        <w:t>על אחת כמה וכמה ש</w:t>
      </w:r>
      <w:r w:rsidR="00B70D04">
        <w:rPr>
          <w:rFonts w:ascii="FrankRuehl" w:eastAsia="Calibri" w:hAnsi="FrankRuehl" w:cs="FrankRuehl" w:hint="cs"/>
          <w:color w:val="000000"/>
          <w:sz w:val="28"/>
          <w:szCs w:val="28"/>
          <w:rtl/>
        </w:rPr>
        <w:t xml:space="preserve">בית המשפט </w:t>
      </w:r>
      <w:r w:rsidR="0083611D">
        <w:rPr>
          <w:rFonts w:ascii="FrankRuehl" w:eastAsia="Calibri" w:hAnsi="FrankRuehl" w:cs="FrankRuehl" w:hint="cs"/>
          <w:color w:val="000000"/>
          <w:sz w:val="28"/>
          <w:szCs w:val="28"/>
          <w:rtl/>
        </w:rPr>
        <w:t>יכול לנקוט בסעד מתון</w:t>
      </w:r>
      <w:r w:rsidR="00B70D04">
        <w:rPr>
          <w:rFonts w:ascii="FrankRuehl" w:eastAsia="Calibri" w:hAnsi="FrankRuehl" w:cs="FrankRuehl" w:hint="cs"/>
          <w:color w:val="000000"/>
          <w:sz w:val="28"/>
          <w:szCs w:val="28"/>
          <w:rtl/>
        </w:rPr>
        <w:t xml:space="preserve"> ומידתי</w:t>
      </w:r>
      <w:r w:rsidR="0083611D">
        <w:rPr>
          <w:rFonts w:ascii="FrankRuehl" w:eastAsia="Calibri" w:hAnsi="FrankRuehl" w:cs="FrankRuehl" w:hint="cs"/>
          <w:color w:val="000000"/>
          <w:sz w:val="28"/>
          <w:szCs w:val="28"/>
          <w:rtl/>
        </w:rPr>
        <w:t xml:space="preserve"> הרבה יותר של חריגה ממתחם העונש ההולם. מה גם</w:t>
      </w:r>
      <w:r w:rsidR="00B70D04">
        <w:rPr>
          <w:rFonts w:ascii="FrankRuehl" w:eastAsia="Calibri" w:hAnsi="FrankRuehl" w:cs="FrankRuehl" w:hint="cs"/>
          <w:color w:val="000000"/>
          <w:sz w:val="28"/>
          <w:szCs w:val="28"/>
          <w:rtl/>
        </w:rPr>
        <w:t>,</w:t>
      </w:r>
      <w:r w:rsidR="0083611D">
        <w:rPr>
          <w:rFonts w:ascii="FrankRuehl" w:eastAsia="Calibri" w:hAnsi="FrankRuehl" w:cs="FrankRuehl" w:hint="cs"/>
          <w:color w:val="000000"/>
          <w:sz w:val="28"/>
          <w:szCs w:val="28"/>
          <w:rtl/>
        </w:rPr>
        <w:t xml:space="preserve"> שאם לא תאמר כן, ייווצר מצב</w:t>
      </w:r>
      <w:r w:rsidR="00B70D04">
        <w:rPr>
          <w:rFonts w:ascii="FrankRuehl" w:eastAsia="Calibri" w:hAnsi="FrankRuehl" w:cs="FrankRuehl" w:hint="cs"/>
          <w:color w:val="000000"/>
          <w:sz w:val="28"/>
          <w:szCs w:val="28"/>
          <w:rtl/>
        </w:rPr>
        <w:t xml:space="preserve"> בו במקרה של נאשם שנסיבותיו האישיות מצדיקות</w:t>
      </w:r>
      <w:r w:rsidR="0083611D">
        <w:rPr>
          <w:rFonts w:ascii="FrankRuehl" w:eastAsia="Calibri" w:hAnsi="FrankRuehl" w:cs="FrankRuehl" w:hint="cs"/>
          <w:color w:val="000000"/>
          <w:sz w:val="28"/>
          <w:szCs w:val="28"/>
          <w:rtl/>
        </w:rPr>
        <w:t xml:space="preserve"> את גזירת עונשו ברף גבוה בתוך המתחם</w:t>
      </w:r>
      <w:r w:rsidR="00B70D04">
        <w:rPr>
          <w:rFonts w:ascii="FrankRuehl" w:eastAsia="Calibri" w:hAnsi="FrankRuehl" w:cs="FrankRuehl" w:hint="cs"/>
          <w:color w:val="000000"/>
          <w:sz w:val="28"/>
          <w:szCs w:val="28"/>
          <w:rtl/>
        </w:rPr>
        <w:t>,</w:t>
      </w:r>
      <w:r w:rsidR="0083611D">
        <w:rPr>
          <w:rFonts w:ascii="FrankRuehl" w:eastAsia="Calibri" w:hAnsi="FrankRuehl" w:cs="FrankRuehl" w:hint="cs"/>
          <w:color w:val="000000"/>
          <w:sz w:val="28"/>
          <w:szCs w:val="28"/>
          <w:rtl/>
        </w:rPr>
        <w:t xml:space="preserve"> יימצא מזור להתנהלות המאשימה שהביאה לפגיעה "מהותית לעקרונות של צדק והגינות משפטית" ב</w:t>
      </w:r>
      <w:r w:rsidR="00B70D04">
        <w:rPr>
          <w:rFonts w:ascii="FrankRuehl" w:eastAsia="Calibri" w:hAnsi="FrankRuehl" w:cs="FrankRuehl" w:hint="cs"/>
          <w:color w:val="000000"/>
          <w:sz w:val="28"/>
          <w:szCs w:val="28"/>
          <w:rtl/>
        </w:rPr>
        <w:t xml:space="preserve">דרך של הקלה בעונשו בתוך המתחם; </w:t>
      </w:r>
      <w:r w:rsidR="0083611D">
        <w:rPr>
          <w:rFonts w:ascii="FrankRuehl" w:eastAsia="Calibri" w:hAnsi="FrankRuehl" w:cs="FrankRuehl" w:hint="cs"/>
          <w:color w:val="000000"/>
          <w:sz w:val="28"/>
          <w:szCs w:val="28"/>
          <w:rtl/>
        </w:rPr>
        <w:t xml:space="preserve">בעוד </w:t>
      </w:r>
      <w:r w:rsidR="00B70D04">
        <w:rPr>
          <w:rFonts w:ascii="FrankRuehl" w:eastAsia="Calibri" w:hAnsi="FrankRuehl" w:cs="FrankRuehl" w:hint="cs"/>
          <w:color w:val="000000"/>
          <w:sz w:val="28"/>
          <w:szCs w:val="28"/>
          <w:rtl/>
        </w:rPr>
        <w:t>ש</w:t>
      </w:r>
      <w:r w:rsidR="0083611D">
        <w:rPr>
          <w:rFonts w:ascii="FrankRuehl" w:eastAsia="Calibri" w:hAnsi="FrankRuehl" w:cs="FrankRuehl" w:hint="cs"/>
          <w:color w:val="000000"/>
          <w:sz w:val="28"/>
          <w:szCs w:val="28"/>
          <w:rtl/>
        </w:rPr>
        <w:t xml:space="preserve">נאשם </w:t>
      </w:r>
      <w:r w:rsidR="00B70D04">
        <w:rPr>
          <w:rFonts w:ascii="FrankRuehl" w:eastAsia="Calibri" w:hAnsi="FrankRuehl" w:cs="FrankRuehl" w:hint="cs"/>
          <w:color w:val="000000"/>
          <w:sz w:val="28"/>
          <w:szCs w:val="28"/>
          <w:rtl/>
        </w:rPr>
        <w:t>שנסיבותיו האישיות כשלעצמן מצדיקות את גזירת עונשו בתחתית המתחם, דווקא הוא לא יקבל מזור לאותה פגיעה "מהותית לעקרונות של צדק והגינות משפטית".</w:t>
      </w:r>
    </w:p>
    <w:p w:rsidR="00324021" w:rsidRPr="00C62FD7" w:rsidRDefault="00B70D04" w:rsidP="000860D1">
      <w:pPr>
        <w:spacing w:after="160" w:line="360" w:lineRule="auto"/>
        <w:jc w:val="both"/>
        <w:rPr>
          <w:rFonts w:ascii="FrankRuehl" w:eastAsia="Calibri" w:hAnsi="FrankRuehl" w:cs="FrankRuehl"/>
          <w:color w:val="000000"/>
          <w:sz w:val="28"/>
          <w:szCs w:val="28"/>
          <w:rtl/>
        </w:rPr>
      </w:pPr>
      <w:r>
        <w:rPr>
          <w:rFonts w:ascii="FrankRuehl" w:eastAsia="Calibri" w:hAnsi="FrankRuehl" w:cs="FrankRuehl" w:hint="cs"/>
          <w:color w:val="000000"/>
          <w:sz w:val="28"/>
          <w:szCs w:val="28"/>
          <w:rtl/>
        </w:rPr>
        <w:t>96.</w:t>
      </w:r>
      <w:r>
        <w:rPr>
          <w:rFonts w:ascii="FrankRuehl" w:eastAsia="Calibri" w:hAnsi="FrankRuehl" w:cs="FrankRuehl" w:hint="cs"/>
          <w:color w:val="000000"/>
          <w:sz w:val="28"/>
          <w:szCs w:val="28"/>
          <w:rtl/>
        </w:rPr>
        <w:tab/>
      </w:r>
      <w:r w:rsidR="0046623A" w:rsidRPr="00C62FD7">
        <w:rPr>
          <w:rFonts w:ascii="FrankRuehl" w:eastAsia="Calibri" w:hAnsi="FrankRuehl" w:cs="FrankRuehl" w:hint="cs"/>
          <w:color w:val="000000"/>
          <w:sz w:val="28"/>
          <w:szCs w:val="28"/>
          <w:rtl/>
        </w:rPr>
        <w:t xml:space="preserve">בעניין זה נכון להפנות להצעת החוק הממשלתית </w:t>
      </w:r>
      <w:r w:rsidR="0046623A" w:rsidRPr="00C62FD7">
        <w:rPr>
          <w:rFonts w:ascii="FrankRuehl" w:eastAsia="Calibri" w:hAnsi="FrankRuehl" w:cs="FrankRuehl"/>
          <w:color w:val="000000"/>
          <w:sz w:val="28"/>
          <w:szCs w:val="28"/>
          <w:rtl/>
        </w:rPr>
        <w:t>–</w:t>
      </w:r>
      <w:r w:rsidR="0046623A" w:rsidRPr="00C62FD7">
        <w:rPr>
          <w:rFonts w:ascii="FrankRuehl" w:eastAsia="Calibri" w:hAnsi="FrankRuehl" w:cs="FrankRuehl" w:hint="cs"/>
          <w:color w:val="000000"/>
          <w:sz w:val="28"/>
          <w:szCs w:val="28"/>
          <w:rtl/>
        </w:rPr>
        <w:t xml:space="preserve"> הצעת חוק העונשין (תיקון מס' 128)</w:t>
      </w:r>
      <w:r w:rsidR="003C3984" w:rsidRPr="00C62FD7">
        <w:rPr>
          <w:rFonts w:ascii="FrankRuehl" w:eastAsia="Calibri" w:hAnsi="FrankRuehl" w:cs="FrankRuehl"/>
          <w:color w:val="000000"/>
          <w:sz w:val="28"/>
          <w:szCs w:val="28"/>
          <w:rtl/>
        </w:rPr>
        <w:t xml:space="preserve"> (הבניית שיקול הדעת השיפוטי בענישה), התשע"ו-2016</w:t>
      </w:r>
      <w:r w:rsidR="0046623A" w:rsidRPr="00C62FD7">
        <w:rPr>
          <w:rFonts w:ascii="FrankRuehl" w:eastAsia="Calibri" w:hAnsi="FrankRuehl" w:cs="FrankRuehl" w:hint="cs"/>
          <w:color w:val="000000"/>
          <w:sz w:val="28"/>
          <w:szCs w:val="28"/>
          <w:rtl/>
        </w:rPr>
        <w:t>, במסגרתה הוצע לה</w:t>
      </w:r>
      <w:r w:rsidR="003C3984" w:rsidRPr="00C62FD7">
        <w:rPr>
          <w:rFonts w:ascii="FrankRuehl" w:eastAsia="Calibri" w:hAnsi="FrankRuehl" w:cs="FrankRuehl"/>
          <w:color w:val="000000"/>
          <w:sz w:val="28"/>
          <w:szCs w:val="28"/>
          <w:rtl/>
        </w:rPr>
        <w:t>וסיף בחוק סעיף לפיו בית המשפט יהיה רשאי לחרוג ממתחם העונש</w:t>
      </w:r>
      <w:r w:rsidR="0046623A" w:rsidRPr="00C62FD7">
        <w:rPr>
          <w:rFonts w:ascii="FrankRuehl" w:eastAsia="Calibri" w:hAnsi="FrankRuehl" w:cs="FrankRuehl" w:hint="cs"/>
          <w:color w:val="000000"/>
          <w:sz w:val="28"/>
          <w:szCs w:val="28"/>
          <w:rtl/>
        </w:rPr>
        <w:t xml:space="preserve"> ההולם "אם מ</w:t>
      </w:r>
      <w:r w:rsidR="003C3984" w:rsidRPr="00C62FD7">
        <w:rPr>
          <w:rFonts w:ascii="FrankRuehl" w:eastAsia="Calibri" w:hAnsi="FrankRuehl" w:cs="FrankRuehl"/>
          <w:color w:val="000000"/>
          <w:sz w:val="28"/>
          <w:szCs w:val="28"/>
          <w:rtl/>
        </w:rPr>
        <w:t>צא כי מתקיימת נסיבה מיוחדת ויוצאת דופן שאינה קשורה בביצוע העבירה, מהנסיבות המפורטות להלן, המצדיקה חריגה ממתחם העונש ההולם כדי למנוע עיוות דין</w:t>
      </w:r>
      <w:r w:rsidR="0046623A" w:rsidRPr="00C62FD7">
        <w:rPr>
          <w:rFonts w:ascii="FrankRuehl" w:eastAsia="Calibri" w:hAnsi="FrankRuehl" w:cs="FrankRuehl" w:hint="cs"/>
          <w:color w:val="000000"/>
          <w:sz w:val="28"/>
          <w:szCs w:val="28"/>
          <w:rtl/>
        </w:rPr>
        <w:t>", כשאחת הנסיבות שהוצעו לעניין זה היא "</w:t>
      </w:r>
      <w:r w:rsidR="003C3984" w:rsidRPr="00C62FD7">
        <w:rPr>
          <w:rFonts w:ascii="FrankRuehl" w:eastAsia="Calibri" w:hAnsi="FrankRuehl" w:cs="FrankRuehl"/>
          <w:color w:val="000000"/>
          <w:sz w:val="28"/>
          <w:szCs w:val="28"/>
          <w:rtl/>
        </w:rPr>
        <w:t>(4) חלף פרק זמן ארוך במיוחד מעת ביצוע העבירה...". בדברי ההסבר להצעת החוק</w:t>
      </w:r>
      <w:r w:rsidR="0046623A" w:rsidRPr="00C62FD7">
        <w:rPr>
          <w:rFonts w:ascii="FrankRuehl" w:eastAsia="Calibri" w:hAnsi="FrankRuehl" w:cs="FrankRuehl" w:hint="cs"/>
          <w:color w:val="000000"/>
          <w:sz w:val="28"/>
          <w:szCs w:val="28"/>
          <w:rtl/>
        </w:rPr>
        <w:t xml:space="preserve"> צוין, </w:t>
      </w:r>
      <w:r w:rsidR="003C3984" w:rsidRPr="00C62FD7">
        <w:rPr>
          <w:rFonts w:ascii="FrankRuehl" w:eastAsia="Calibri" w:hAnsi="FrankRuehl" w:cs="FrankRuehl"/>
          <w:color w:val="000000"/>
          <w:sz w:val="28"/>
          <w:szCs w:val="28"/>
          <w:rtl/>
        </w:rPr>
        <w:t>כי ישנו קושי אינהרנטי בענישתו של אדם בחלוף שנים רבות מיום ביצוע מעשיו וכן כי לעיתים הימשכות ההליכים עצמה היא בגדר עינוי דין לנאשם ומוסיפה לעונשו. עוד צוין שם כי, ככלל, יעילותה של הענישה פוחתת ככל שחולף זמן מיום ביצוע העבירה</w:t>
      </w:r>
      <w:r w:rsidR="00324021" w:rsidRPr="00C62FD7">
        <w:rPr>
          <w:rFonts w:ascii="FrankRuehl" w:eastAsia="Calibri" w:hAnsi="FrankRuehl" w:cs="FrankRuehl" w:hint="cs"/>
          <w:color w:val="000000"/>
          <w:sz w:val="28"/>
          <w:szCs w:val="28"/>
          <w:rtl/>
        </w:rPr>
        <w:t xml:space="preserve"> (ראו גם:</w:t>
      </w:r>
      <w:r w:rsidR="00C62FD7">
        <w:rPr>
          <w:rFonts w:ascii="FrankRuehl" w:eastAsia="Calibri" w:hAnsi="FrankRuehl" w:cs="FrankRuehl" w:hint="cs"/>
          <w:color w:val="000000"/>
          <w:sz w:val="28"/>
          <w:szCs w:val="28"/>
          <w:rtl/>
        </w:rPr>
        <w:t xml:space="preserve"> </w:t>
      </w:r>
      <w:r w:rsidR="00324021" w:rsidRPr="00C62FD7">
        <w:rPr>
          <w:rFonts w:ascii="FrankRuehl" w:eastAsia="Calibri" w:hAnsi="FrankRuehl" w:cs="FrankRuehl"/>
          <w:color w:val="000000"/>
          <w:sz w:val="28"/>
          <w:szCs w:val="28"/>
          <w:rtl/>
        </w:rPr>
        <w:t>ע</w:t>
      </w:r>
      <w:r w:rsidR="00C62FD7">
        <w:rPr>
          <w:rFonts w:ascii="FrankRuehl" w:eastAsia="Calibri" w:hAnsi="FrankRuehl" w:cs="FrankRuehl" w:hint="cs"/>
          <w:color w:val="000000"/>
          <w:sz w:val="28"/>
          <w:szCs w:val="28"/>
          <w:rtl/>
        </w:rPr>
        <w:t>"</w:t>
      </w:r>
      <w:r w:rsidR="00324021" w:rsidRPr="00C62FD7">
        <w:rPr>
          <w:rFonts w:ascii="FrankRuehl" w:eastAsia="Calibri" w:hAnsi="FrankRuehl" w:cs="FrankRuehl"/>
          <w:color w:val="000000"/>
          <w:sz w:val="28"/>
          <w:szCs w:val="28"/>
          <w:rtl/>
        </w:rPr>
        <w:t>פ (</w:t>
      </w:r>
      <w:r w:rsidR="00C62FD7">
        <w:rPr>
          <w:rFonts w:ascii="FrankRuehl" w:eastAsia="Calibri" w:hAnsi="FrankRuehl" w:cs="FrankRuehl" w:hint="cs"/>
          <w:color w:val="000000"/>
          <w:sz w:val="28"/>
          <w:szCs w:val="28"/>
          <w:rtl/>
        </w:rPr>
        <w:t>מחוזי-</w:t>
      </w:r>
      <w:r w:rsidR="00324021" w:rsidRPr="00C62FD7">
        <w:rPr>
          <w:rFonts w:ascii="FrankRuehl" w:eastAsia="Calibri" w:hAnsi="FrankRuehl" w:cs="FrankRuehl"/>
          <w:color w:val="000000"/>
          <w:sz w:val="28"/>
          <w:szCs w:val="28"/>
          <w:rtl/>
        </w:rPr>
        <w:t xml:space="preserve">ת"א) 23079-09-15‏ </w:t>
      </w:r>
      <w:r w:rsidR="00324021" w:rsidRPr="00C62FD7">
        <w:rPr>
          <w:rFonts w:ascii="FrankRuehl" w:eastAsia="Calibri" w:hAnsi="FrankRuehl" w:cs="FrankRuehl"/>
          <w:b/>
          <w:bCs/>
          <w:color w:val="000000"/>
          <w:sz w:val="28"/>
          <w:szCs w:val="28"/>
          <w:rtl/>
        </w:rPr>
        <w:t>מור נ' מדינת ישראל</w:t>
      </w:r>
      <w:r w:rsidR="00C62FD7">
        <w:rPr>
          <w:rFonts w:ascii="FrankRuehl" w:eastAsia="Calibri" w:hAnsi="FrankRuehl" w:cs="FrankRuehl" w:hint="cs"/>
          <w:color w:val="000000"/>
          <w:sz w:val="28"/>
          <w:szCs w:val="28"/>
          <w:rtl/>
        </w:rPr>
        <w:t xml:space="preserve"> (21.12.16); </w:t>
      </w:r>
      <w:r w:rsidR="00324021" w:rsidRPr="00C62FD7">
        <w:rPr>
          <w:rFonts w:ascii="FrankRuehl" w:eastAsia="Calibri" w:hAnsi="FrankRuehl" w:cs="FrankRuehl"/>
          <w:color w:val="000000"/>
          <w:sz w:val="28"/>
          <w:szCs w:val="28"/>
          <w:rtl/>
        </w:rPr>
        <w:t>עפ</w:t>
      </w:r>
      <w:r w:rsidR="00C62FD7">
        <w:rPr>
          <w:rFonts w:ascii="FrankRuehl" w:eastAsia="Calibri" w:hAnsi="FrankRuehl" w:cs="FrankRuehl" w:hint="cs"/>
          <w:color w:val="000000"/>
          <w:sz w:val="28"/>
          <w:szCs w:val="28"/>
          <w:rtl/>
        </w:rPr>
        <w:t>"</w:t>
      </w:r>
      <w:r w:rsidR="00324021" w:rsidRPr="00C62FD7">
        <w:rPr>
          <w:rFonts w:ascii="FrankRuehl" w:eastAsia="Calibri" w:hAnsi="FrankRuehl" w:cs="FrankRuehl"/>
          <w:color w:val="000000"/>
          <w:sz w:val="28"/>
          <w:szCs w:val="28"/>
          <w:rtl/>
        </w:rPr>
        <w:t>ג (</w:t>
      </w:r>
      <w:r w:rsidR="00C62FD7">
        <w:rPr>
          <w:rFonts w:ascii="FrankRuehl" w:eastAsia="Calibri" w:hAnsi="FrankRuehl" w:cs="FrankRuehl" w:hint="cs"/>
          <w:color w:val="000000"/>
          <w:sz w:val="28"/>
          <w:szCs w:val="28"/>
          <w:rtl/>
        </w:rPr>
        <w:t>מחוזי-</w:t>
      </w:r>
      <w:r w:rsidR="00324021" w:rsidRPr="00C62FD7">
        <w:rPr>
          <w:rFonts w:ascii="FrankRuehl" w:eastAsia="Calibri" w:hAnsi="FrankRuehl" w:cs="FrankRuehl"/>
          <w:color w:val="000000"/>
          <w:sz w:val="28"/>
          <w:szCs w:val="28"/>
          <w:rtl/>
        </w:rPr>
        <w:t xml:space="preserve">ב"ש) 68947-07-20  </w:t>
      </w:r>
      <w:r w:rsidR="00324021" w:rsidRPr="00C62FD7">
        <w:rPr>
          <w:rFonts w:ascii="FrankRuehl" w:eastAsia="Calibri" w:hAnsi="FrankRuehl" w:cs="FrankRuehl"/>
          <w:b/>
          <w:bCs/>
          <w:color w:val="000000"/>
          <w:sz w:val="28"/>
          <w:szCs w:val="28"/>
          <w:rtl/>
        </w:rPr>
        <w:t>יוסופוב נ' מדינת ישראל</w:t>
      </w:r>
      <w:r w:rsidR="00324021" w:rsidRPr="00C62FD7">
        <w:rPr>
          <w:rFonts w:ascii="FrankRuehl" w:eastAsia="Calibri" w:hAnsi="FrankRuehl" w:cs="FrankRuehl" w:hint="cs"/>
          <w:color w:val="000000"/>
          <w:sz w:val="28"/>
          <w:szCs w:val="28"/>
          <w:rtl/>
        </w:rPr>
        <w:t xml:space="preserve"> (18.11.20)</w:t>
      </w:r>
      <w:r w:rsidR="00C62FD7">
        <w:rPr>
          <w:rFonts w:ascii="FrankRuehl" w:eastAsia="Calibri" w:hAnsi="FrankRuehl" w:cs="FrankRuehl" w:hint="cs"/>
          <w:color w:val="000000"/>
          <w:sz w:val="28"/>
          <w:szCs w:val="28"/>
          <w:rtl/>
        </w:rPr>
        <w:t>).</w:t>
      </w:r>
    </w:p>
    <w:p w:rsidR="003C3984" w:rsidRDefault="003C3984" w:rsidP="00C62FD7">
      <w:pPr>
        <w:spacing w:after="160" w:line="360" w:lineRule="auto"/>
        <w:jc w:val="both"/>
        <w:rPr>
          <w:rFonts w:ascii="FrankRuehl" w:eastAsia="Calibri" w:hAnsi="FrankRuehl" w:cs="FrankRuehl"/>
          <w:color w:val="000000"/>
          <w:sz w:val="28"/>
          <w:szCs w:val="28"/>
          <w:rtl/>
        </w:rPr>
      </w:pPr>
    </w:p>
    <w:p w:rsidR="00C62FD7" w:rsidRDefault="00F91B51" w:rsidP="004A701B">
      <w:pPr>
        <w:spacing w:after="160" w:line="360" w:lineRule="auto"/>
        <w:jc w:val="both"/>
        <w:rPr>
          <w:rFonts w:ascii="FrankRuehl" w:eastAsia="Calibri" w:hAnsi="FrankRuehl" w:cs="FrankRuehl"/>
          <w:color w:val="000000"/>
          <w:sz w:val="28"/>
          <w:szCs w:val="28"/>
          <w:rtl/>
        </w:rPr>
      </w:pPr>
      <w:r>
        <w:rPr>
          <w:rFonts w:ascii="FrankRuehl" w:eastAsia="Calibri" w:hAnsi="FrankRuehl" w:cs="FrankRuehl" w:hint="cs"/>
          <w:color w:val="000000"/>
          <w:sz w:val="28"/>
          <w:szCs w:val="28"/>
          <w:rtl/>
        </w:rPr>
        <w:t>9</w:t>
      </w:r>
      <w:r w:rsidR="004A701B">
        <w:rPr>
          <w:rFonts w:ascii="FrankRuehl" w:eastAsia="Calibri" w:hAnsi="FrankRuehl" w:cs="FrankRuehl" w:hint="cs"/>
          <w:color w:val="000000"/>
          <w:sz w:val="28"/>
          <w:szCs w:val="28"/>
          <w:rtl/>
        </w:rPr>
        <w:t>7</w:t>
      </w:r>
      <w:r>
        <w:rPr>
          <w:rFonts w:ascii="FrankRuehl" w:eastAsia="Calibri" w:hAnsi="FrankRuehl" w:cs="FrankRuehl" w:hint="cs"/>
          <w:color w:val="000000"/>
          <w:sz w:val="28"/>
          <w:szCs w:val="28"/>
          <w:rtl/>
        </w:rPr>
        <w:t>.</w:t>
      </w:r>
      <w:r>
        <w:rPr>
          <w:rFonts w:ascii="FrankRuehl" w:eastAsia="Calibri" w:hAnsi="FrankRuehl" w:cs="FrankRuehl" w:hint="cs"/>
          <w:color w:val="000000"/>
          <w:sz w:val="28"/>
          <w:szCs w:val="28"/>
          <w:rtl/>
        </w:rPr>
        <w:tab/>
      </w:r>
      <w:r w:rsidR="00C62FD7">
        <w:rPr>
          <w:rFonts w:ascii="FrankRuehl" w:eastAsia="Calibri" w:hAnsi="FrankRuehl" w:cs="FrankRuehl" w:hint="cs"/>
          <w:color w:val="000000"/>
          <w:sz w:val="28"/>
          <w:szCs w:val="28"/>
          <w:rtl/>
        </w:rPr>
        <w:t>סופו של יום אפוא, אני משית על הנאשם את העונשים הבאים:</w:t>
      </w:r>
    </w:p>
    <w:p w:rsidR="005E201E" w:rsidRDefault="00C62FD7" w:rsidP="005E201E">
      <w:pPr>
        <w:pStyle w:val="af"/>
        <w:numPr>
          <w:ilvl w:val="0"/>
          <w:numId w:val="9"/>
        </w:numPr>
        <w:spacing w:after="160" w:line="360" w:lineRule="auto"/>
        <w:jc w:val="both"/>
        <w:rPr>
          <w:rFonts w:ascii="FrankRuehl" w:eastAsia="Calibri" w:hAnsi="FrankRuehl" w:cs="FrankRuehl"/>
          <w:color w:val="000000"/>
          <w:sz w:val="28"/>
          <w:szCs w:val="28"/>
        </w:rPr>
      </w:pPr>
      <w:r w:rsidRPr="00F91B51">
        <w:rPr>
          <w:rFonts w:ascii="FrankRuehl" w:eastAsia="Calibri" w:hAnsi="FrankRuehl" w:cs="FrankRuehl" w:hint="cs"/>
          <w:color w:val="000000"/>
          <w:sz w:val="28"/>
          <w:szCs w:val="28"/>
          <w:rtl/>
        </w:rPr>
        <w:lastRenderedPageBreak/>
        <w:t>תשעה חודשי מאסר</w:t>
      </w:r>
      <w:r w:rsidR="00F91B51" w:rsidRPr="00F91B51">
        <w:rPr>
          <w:rFonts w:ascii="FrankRuehl" w:eastAsia="Calibri" w:hAnsi="FrankRuehl" w:cs="FrankRuehl" w:hint="cs"/>
          <w:color w:val="000000"/>
          <w:sz w:val="28"/>
          <w:szCs w:val="28"/>
          <w:rtl/>
        </w:rPr>
        <w:t xml:space="preserve"> אשר ירו</w:t>
      </w:r>
      <w:r w:rsidRPr="00F91B51">
        <w:rPr>
          <w:rFonts w:ascii="FrankRuehl" w:eastAsia="Calibri" w:hAnsi="FrankRuehl" w:cs="FrankRuehl"/>
          <w:color w:val="000000"/>
          <w:sz w:val="28"/>
          <w:szCs w:val="28"/>
          <w:rtl/>
        </w:rPr>
        <w:t>צו בעבודות שירות בהתאם לחוות דעת הממונה ובכפוף לה.</w:t>
      </w:r>
      <w:r w:rsidR="00F91B51" w:rsidRPr="00F91B51">
        <w:rPr>
          <w:rFonts w:ascii="FrankRuehl" w:eastAsia="Calibri" w:hAnsi="FrankRuehl" w:cs="FrankRuehl" w:hint="cs"/>
          <w:color w:val="000000"/>
          <w:sz w:val="28"/>
          <w:szCs w:val="28"/>
          <w:rtl/>
        </w:rPr>
        <w:t xml:space="preserve"> ה</w:t>
      </w:r>
      <w:r w:rsidRPr="00F91B51">
        <w:rPr>
          <w:rFonts w:ascii="FrankRuehl" w:eastAsia="Calibri" w:hAnsi="FrankRuehl" w:cs="FrankRuehl"/>
          <w:color w:val="000000"/>
          <w:sz w:val="28"/>
          <w:szCs w:val="28"/>
          <w:rtl/>
        </w:rPr>
        <w:t>נאשם</w:t>
      </w:r>
      <w:r w:rsidRPr="00F91B51">
        <w:rPr>
          <w:rFonts w:ascii="FrankRuehl" w:eastAsia="Calibri" w:hAnsi="FrankRuehl" w:cs="FrankRuehl"/>
          <w:color w:val="000000"/>
          <w:sz w:val="28"/>
          <w:szCs w:val="28"/>
        </w:rPr>
        <w:t> </w:t>
      </w:r>
      <w:r w:rsidRPr="00F91B51">
        <w:rPr>
          <w:rFonts w:ascii="FrankRuehl" w:eastAsia="Calibri" w:hAnsi="FrankRuehl" w:cs="FrankRuehl"/>
          <w:color w:val="000000"/>
          <w:sz w:val="28"/>
          <w:szCs w:val="28"/>
          <w:rtl/>
        </w:rPr>
        <w:t>יתייצב</w:t>
      </w:r>
      <w:r w:rsidRPr="00F91B51">
        <w:rPr>
          <w:rFonts w:ascii="FrankRuehl" w:eastAsia="Calibri" w:hAnsi="FrankRuehl" w:cs="FrankRuehl"/>
          <w:color w:val="000000"/>
          <w:sz w:val="28"/>
          <w:szCs w:val="28"/>
        </w:rPr>
        <w:t> </w:t>
      </w:r>
      <w:r w:rsidRPr="00F91B51">
        <w:rPr>
          <w:rFonts w:ascii="FrankRuehl" w:eastAsia="Calibri" w:hAnsi="FrankRuehl" w:cs="FrankRuehl"/>
          <w:color w:val="000000"/>
          <w:sz w:val="28"/>
          <w:szCs w:val="28"/>
          <w:rtl/>
        </w:rPr>
        <w:t>לביצוע</w:t>
      </w:r>
      <w:r w:rsidRPr="00F91B51">
        <w:rPr>
          <w:rFonts w:ascii="FrankRuehl" w:eastAsia="Calibri" w:hAnsi="FrankRuehl" w:cs="FrankRuehl"/>
          <w:color w:val="000000"/>
          <w:sz w:val="28"/>
          <w:szCs w:val="28"/>
        </w:rPr>
        <w:t> </w:t>
      </w:r>
      <w:r w:rsidRPr="00F91B51">
        <w:rPr>
          <w:rFonts w:ascii="FrankRuehl" w:eastAsia="Calibri" w:hAnsi="FrankRuehl" w:cs="FrankRuehl"/>
          <w:color w:val="000000"/>
          <w:sz w:val="28"/>
          <w:szCs w:val="28"/>
          <w:rtl/>
        </w:rPr>
        <w:t>עבודות</w:t>
      </w:r>
      <w:r w:rsidRPr="00F91B51">
        <w:rPr>
          <w:rFonts w:ascii="FrankRuehl" w:eastAsia="Calibri" w:hAnsi="FrankRuehl" w:cs="FrankRuehl"/>
          <w:color w:val="000000"/>
          <w:sz w:val="28"/>
          <w:szCs w:val="28"/>
        </w:rPr>
        <w:t> </w:t>
      </w:r>
      <w:r w:rsidRPr="00F91B51">
        <w:rPr>
          <w:rFonts w:ascii="FrankRuehl" w:eastAsia="Calibri" w:hAnsi="FrankRuehl" w:cs="FrankRuehl"/>
          <w:color w:val="000000"/>
          <w:sz w:val="28"/>
          <w:szCs w:val="28"/>
          <w:rtl/>
        </w:rPr>
        <w:t>השירות</w:t>
      </w:r>
      <w:r w:rsidRPr="00F91B51">
        <w:rPr>
          <w:rFonts w:ascii="FrankRuehl" w:eastAsia="Calibri" w:hAnsi="FrankRuehl" w:cs="FrankRuehl"/>
          <w:color w:val="000000"/>
          <w:sz w:val="28"/>
          <w:szCs w:val="28"/>
        </w:rPr>
        <w:t> </w:t>
      </w:r>
      <w:r w:rsidRPr="00F91B51">
        <w:rPr>
          <w:rFonts w:ascii="FrankRuehl" w:eastAsia="Calibri" w:hAnsi="FrankRuehl" w:cs="FrankRuehl"/>
          <w:color w:val="000000"/>
          <w:sz w:val="28"/>
          <w:szCs w:val="28"/>
          <w:rtl/>
        </w:rPr>
        <w:t>ביום</w:t>
      </w:r>
      <w:r w:rsidR="005E201E">
        <w:rPr>
          <w:rFonts w:ascii="FrankRuehl" w:eastAsia="Calibri" w:hAnsi="FrankRuehl" w:cs="FrankRuehl" w:hint="cs"/>
          <w:color w:val="000000"/>
          <w:sz w:val="28"/>
          <w:szCs w:val="28"/>
          <w:rtl/>
        </w:rPr>
        <w:t xml:space="preserve"> 24.08.23 ע</w:t>
      </w:r>
      <w:r w:rsidRPr="00F91B51">
        <w:rPr>
          <w:rFonts w:ascii="FrankRuehl" w:eastAsia="Calibri" w:hAnsi="FrankRuehl" w:cs="FrankRuehl"/>
          <w:color w:val="000000"/>
          <w:sz w:val="28"/>
          <w:szCs w:val="28"/>
          <w:rtl/>
        </w:rPr>
        <w:t>ד</w:t>
      </w:r>
      <w:r w:rsidRPr="00F91B51">
        <w:rPr>
          <w:rFonts w:ascii="FrankRuehl" w:eastAsia="Calibri" w:hAnsi="FrankRuehl" w:cs="FrankRuehl"/>
          <w:color w:val="000000"/>
          <w:sz w:val="28"/>
          <w:szCs w:val="28"/>
        </w:rPr>
        <w:t> </w:t>
      </w:r>
      <w:r w:rsidRPr="00F91B51">
        <w:rPr>
          <w:rFonts w:ascii="FrankRuehl" w:eastAsia="Calibri" w:hAnsi="FrankRuehl" w:cs="FrankRuehl"/>
          <w:color w:val="000000"/>
          <w:sz w:val="28"/>
          <w:szCs w:val="28"/>
          <w:rtl/>
        </w:rPr>
        <w:t>השעה 09:00 ביחידת</w:t>
      </w:r>
      <w:r w:rsidR="005E201E">
        <w:rPr>
          <w:rFonts w:ascii="FrankRuehl" w:eastAsia="Calibri" w:hAnsi="FrankRuehl" w:cs="FrankRuehl" w:hint="cs"/>
          <w:color w:val="000000"/>
          <w:sz w:val="28"/>
          <w:szCs w:val="28"/>
          <w:rtl/>
        </w:rPr>
        <w:t xml:space="preserve"> עבודות השירות שלוחת דרום. </w:t>
      </w:r>
    </w:p>
    <w:p w:rsidR="00F91B51" w:rsidRDefault="00F91B51" w:rsidP="00F91B51">
      <w:pPr>
        <w:pStyle w:val="af"/>
        <w:spacing w:after="160" w:line="360" w:lineRule="auto"/>
        <w:jc w:val="both"/>
        <w:rPr>
          <w:rFonts w:ascii="FrankRuehl" w:eastAsia="Calibri" w:hAnsi="FrankRuehl" w:cs="FrankRuehl"/>
          <w:color w:val="000000"/>
          <w:sz w:val="28"/>
          <w:szCs w:val="28"/>
          <w:rtl/>
        </w:rPr>
      </w:pPr>
      <w:r>
        <w:rPr>
          <w:rFonts w:ascii="FrankRuehl" w:eastAsia="Calibri" w:hAnsi="FrankRuehl" w:cs="FrankRuehl" w:hint="cs"/>
          <w:color w:val="000000"/>
          <w:sz w:val="28"/>
          <w:szCs w:val="28"/>
          <w:rtl/>
        </w:rPr>
        <w:t xml:space="preserve">הובהר לנאשם, כי עליו לבצע את עבודות השירות לשביעות רצונו של הממונה, וכי אי עמידה בהנחיות הממונה עלולה להביא לנקיטת צעדים כלפיו ולהפסקה מנהלית, אשר יכול ותביא לריצוי יתרת העונש במאסר מאחורי סורג ובריח. </w:t>
      </w:r>
    </w:p>
    <w:p w:rsidR="00F91B51" w:rsidRDefault="00F91B51" w:rsidP="00F91B51">
      <w:pPr>
        <w:pStyle w:val="af"/>
        <w:spacing w:after="160" w:line="360" w:lineRule="auto"/>
        <w:jc w:val="both"/>
        <w:rPr>
          <w:rFonts w:ascii="FrankRuehl" w:eastAsia="Calibri" w:hAnsi="FrankRuehl" w:cs="FrankRuehl"/>
          <w:color w:val="000000"/>
          <w:sz w:val="28"/>
          <w:szCs w:val="28"/>
          <w:rtl/>
        </w:rPr>
      </w:pPr>
    </w:p>
    <w:p w:rsidR="00C62FD7" w:rsidRPr="00F91B51" w:rsidRDefault="00C62FD7" w:rsidP="00F91B51">
      <w:pPr>
        <w:pStyle w:val="af"/>
        <w:numPr>
          <w:ilvl w:val="0"/>
          <w:numId w:val="9"/>
        </w:numPr>
        <w:spacing w:after="160" w:line="360" w:lineRule="auto"/>
        <w:jc w:val="both"/>
        <w:rPr>
          <w:rFonts w:ascii="FrankRuehl" w:eastAsia="Calibri" w:hAnsi="FrankRuehl" w:cs="FrankRuehl"/>
          <w:color w:val="000000"/>
          <w:sz w:val="28"/>
          <w:szCs w:val="28"/>
        </w:rPr>
      </w:pPr>
      <w:r w:rsidRPr="00F91B51">
        <w:rPr>
          <w:rFonts w:ascii="FrankRuehl" w:eastAsia="Calibri" w:hAnsi="FrankRuehl" w:cs="FrankRuehl" w:hint="cs"/>
          <w:color w:val="000000"/>
          <w:sz w:val="28"/>
          <w:szCs w:val="28"/>
          <w:rtl/>
        </w:rPr>
        <w:t xml:space="preserve">תשעה חודשי מאסר אשר לא ירוצו אלא אם כן הנאשם יעבור עבירת שוחד בתקופה של שלוש שנים מהיום. </w:t>
      </w:r>
    </w:p>
    <w:p w:rsidR="00B70D04" w:rsidRDefault="00B70D04" w:rsidP="00B70D04">
      <w:pPr>
        <w:tabs>
          <w:tab w:val="left" w:pos="2025"/>
        </w:tabs>
        <w:spacing w:after="160" w:line="360" w:lineRule="auto"/>
        <w:jc w:val="both"/>
        <w:rPr>
          <w:rFonts w:ascii="FrankRuehl" w:eastAsia="Calibri" w:hAnsi="FrankRuehl" w:cs="FrankRuehl"/>
          <w:color w:val="000000"/>
          <w:sz w:val="28"/>
          <w:szCs w:val="28"/>
          <w:rtl/>
        </w:rPr>
      </w:pPr>
      <w:r>
        <w:rPr>
          <w:rFonts w:ascii="FrankRuehl" w:eastAsia="Calibri" w:hAnsi="FrankRuehl" w:cs="FrankRuehl"/>
          <w:color w:val="000000"/>
          <w:sz w:val="28"/>
          <w:szCs w:val="28"/>
          <w:rtl/>
        </w:rPr>
        <w:tab/>
      </w:r>
    </w:p>
    <w:p w:rsidR="00C62FD7" w:rsidRPr="00C62FD7" w:rsidRDefault="00C62FD7" w:rsidP="00C62FD7">
      <w:pPr>
        <w:spacing w:after="160" w:line="360" w:lineRule="auto"/>
        <w:jc w:val="both"/>
        <w:rPr>
          <w:rFonts w:ascii="FrankRuehl" w:eastAsia="Calibri" w:hAnsi="FrankRuehl" w:cs="FrankRuehl"/>
          <w:color w:val="000000"/>
          <w:sz w:val="28"/>
          <w:szCs w:val="28"/>
          <w:rtl/>
        </w:rPr>
      </w:pPr>
      <w:r>
        <w:rPr>
          <w:rFonts w:ascii="FrankRuehl" w:eastAsia="Calibri" w:hAnsi="FrankRuehl" w:cs="FrankRuehl" w:hint="cs"/>
          <w:color w:val="000000"/>
          <w:sz w:val="28"/>
          <w:szCs w:val="28"/>
          <w:rtl/>
        </w:rPr>
        <w:t xml:space="preserve">זכות ערעור לבית המשפט העליון בתוך 45 יום מהיום. </w:t>
      </w:r>
    </w:p>
    <w:p w:rsidR="00ED4465" w:rsidRPr="002C602F" w:rsidRDefault="00684E84" w:rsidP="005E201E">
      <w:pPr>
        <w:spacing w:after="160" w:line="360" w:lineRule="auto"/>
        <w:jc w:val="both"/>
        <w:rPr>
          <w:rFonts w:ascii="FrankRuehl" w:eastAsia="Calibri" w:hAnsi="FrankRuehl" w:cs="FrankRuehl"/>
          <w:color w:val="000000"/>
          <w:sz w:val="28"/>
          <w:szCs w:val="28"/>
          <w:rtl/>
        </w:rPr>
      </w:pPr>
      <w:r w:rsidRPr="002C602F">
        <w:rPr>
          <w:rFonts w:ascii="FrankRuehl" w:eastAsia="Calibri" w:hAnsi="FrankRuehl" w:cs="FrankRuehl"/>
          <w:color w:val="000000"/>
          <w:sz w:val="28"/>
          <w:szCs w:val="28"/>
          <w:rtl/>
        </w:rPr>
        <w:t xml:space="preserve">ניתן היום,  </w:t>
      </w:r>
      <w:sdt>
        <w:sdtPr>
          <w:rPr>
            <w:rFonts w:ascii="FrankRuehl" w:eastAsia="Calibri" w:hAnsi="FrankRuehl" w:cs="FrankRuehl"/>
            <w:color w:val="000000"/>
            <w:sz w:val="28"/>
            <w:szCs w:val="28"/>
            <w:rtl/>
          </w:rPr>
          <w:alias w:val="1455"/>
          <w:tag w:val="1455"/>
          <w:id w:val="-750497047"/>
          <w:text w:multiLine="1"/>
        </w:sdtPr>
        <w:sdtEndPr/>
        <w:sdtContent>
          <w:r>
            <w:rPr>
              <w:rFonts w:ascii="FrankRuehl" w:eastAsia="Calibri" w:hAnsi="FrankRuehl" w:cs="FrankRuehl" w:hint="cs"/>
              <w:color w:val="000000"/>
              <w:sz w:val="28"/>
              <w:szCs w:val="28"/>
              <w:rtl/>
            </w:rPr>
            <w:t>כ"ב סיוון תשפ"ג</w:t>
          </w:r>
        </w:sdtContent>
      </w:sdt>
      <w:r w:rsidRPr="002C602F">
        <w:rPr>
          <w:rFonts w:ascii="FrankRuehl" w:eastAsia="Calibri" w:hAnsi="FrankRuehl" w:cs="FrankRuehl"/>
          <w:color w:val="000000"/>
          <w:sz w:val="28"/>
          <w:szCs w:val="28"/>
          <w:rtl/>
        </w:rPr>
        <w:t xml:space="preserve">, </w:t>
      </w:r>
      <w:sdt>
        <w:sdtPr>
          <w:rPr>
            <w:rFonts w:ascii="FrankRuehl" w:eastAsia="Calibri" w:hAnsi="FrankRuehl" w:cs="FrankRuehl"/>
            <w:color w:val="000000"/>
            <w:sz w:val="28"/>
            <w:szCs w:val="28"/>
            <w:rtl/>
          </w:rPr>
          <w:alias w:val="1456"/>
          <w:tag w:val="1456"/>
          <w:id w:val="367718347"/>
          <w:text w:multiLine="1"/>
        </w:sdtPr>
        <w:sdtEndPr/>
        <w:sdtContent>
          <w:r>
            <w:rPr>
              <w:rFonts w:ascii="FrankRuehl" w:eastAsia="Calibri" w:hAnsi="FrankRuehl" w:cs="FrankRuehl" w:hint="cs"/>
              <w:color w:val="000000"/>
              <w:sz w:val="28"/>
              <w:szCs w:val="28"/>
              <w:rtl/>
            </w:rPr>
            <w:t>11 יוני 2023</w:t>
          </w:r>
        </w:sdtContent>
      </w:sdt>
      <w:r w:rsidR="002C602F">
        <w:rPr>
          <w:rFonts w:ascii="FrankRuehl" w:eastAsia="Calibri" w:hAnsi="FrankRuehl" w:cs="FrankRuehl"/>
          <w:color w:val="000000"/>
          <w:sz w:val="28"/>
          <w:szCs w:val="28"/>
          <w:rtl/>
        </w:rPr>
        <w:t>, ב</w:t>
      </w:r>
      <w:r w:rsidR="002C602F">
        <w:rPr>
          <w:rFonts w:ascii="FrankRuehl" w:eastAsia="Calibri" w:hAnsi="FrankRuehl" w:cs="FrankRuehl" w:hint="cs"/>
          <w:color w:val="000000"/>
          <w:sz w:val="28"/>
          <w:szCs w:val="28"/>
          <w:rtl/>
        </w:rPr>
        <w:t>מעמד המתייצבי</w:t>
      </w:r>
      <w:r w:rsidRPr="002C602F">
        <w:rPr>
          <w:rFonts w:ascii="FrankRuehl" w:eastAsia="Calibri" w:hAnsi="FrankRuehl" w:cs="FrankRuehl"/>
          <w:color w:val="000000"/>
          <w:sz w:val="28"/>
          <w:szCs w:val="28"/>
          <w:rtl/>
        </w:rPr>
        <w:t>ם.</w:t>
      </w:r>
    </w:p>
    <w:p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rsidR="00507694" w:rsidRPr="000F2247" w:rsidRDefault="003E0C9F" w:rsidP="002B7D23">
      <w:pPr>
        <w:jc w:val="cente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sdt>
        <w:sdtPr>
          <w:rPr>
            <w:rtl/>
          </w:rPr>
          <w:alias w:val="MergeField"/>
          <w:tag w:val="1237"/>
          <w:id w:val="-30497786"/>
        </w:sdtPr>
        <w:sdtEndPr/>
        <w:sdtContent>
          <w:r w:rsidR="00AC46D8">
            <w:rPr>
              <w:noProof/>
            </w:rPr>
            <w:drawing>
              <wp:inline distT="0" distB="0" distL="0" distR="0" wp14:editId="50D07946">
                <wp:extent cx="14192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419225" cy="1028700"/>
                        </a:xfrm>
                        <a:prstGeom prst="rect">
                          <a:avLst/>
                        </a:prstGeom>
                      </pic:spPr>
                    </pic:pic>
                  </a:graphicData>
                </a:graphic>
              </wp:inline>
            </w:drawing>
          </w:r>
        </w:sdtContent>
      </w:sdt>
    </w:p>
    <w:p w:rsidR="00507694" w:rsidRPr="000F2247" w:rsidRDefault="00507694" w:rsidP="002B7D23">
      <w:pPr>
        <w:jc w:val="center"/>
        <w:rPr>
          <w:rFonts w:ascii="Arial" w:hAnsi="Arial"/>
          <w:b/>
          <w:bCs/>
          <w:sz w:val="26"/>
          <w:szCs w:val="26"/>
          <w:rtl/>
        </w:rPr>
      </w:pPr>
    </w:p>
    <w:sectPr w:rsidR="00507694" w:rsidRPr="000F2247" w:rsidSect="00507694">
      <w:headerReference w:type="even" r:id="rId14"/>
      <w:headerReference w:type="default" r:id="rId15"/>
      <w:footerReference w:type="even" r:id="rId16"/>
      <w:footerReference w:type="default" r:id="rId17"/>
      <w:headerReference w:type="first" r:id="rId18"/>
      <w:footerReference w:type="first" r:id="rId19"/>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265" w:rsidRDefault="007B6265">
      <w:r>
        <w:separator/>
      </w:r>
    </w:p>
  </w:endnote>
  <w:endnote w:type="continuationSeparator" w:id="0">
    <w:p w:rsidR="007B6265" w:rsidRDefault="007B6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5"/>
      <w:framePr w:wrap="around" w:vAnchor="text" w:hAnchor="text" w:y="1"/>
      <w:rPr>
        <w:rStyle w:val="ad"/>
      </w:rPr>
    </w:pPr>
    <w:r>
      <w:rPr>
        <w:rStyle w:val="ad"/>
        <w:rtl/>
      </w:rPr>
      <w:fldChar w:fldCharType="begin"/>
    </w:r>
    <w:r w:rsidR="00BD67E7">
      <w:rPr>
        <w:rStyle w:val="ad"/>
      </w:rPr>
      <w:instrText xml:space="preserve">PAGE  </w:instrText>
    </w:r>
    <w:r>
      <w:rPr>
        <w:rStyle w:val="ad"/>
        <w:rtl/>
      </w:rPr>
      <w:fldChar w:fldCharType="end"/>
    </w:r>
  </w:p>
  <w:p w:rsidR="00BD67E7" w:rsidRDefault="00BD67E7" w:rsidP="00BD67E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Pr="00B46B4F" w:rsidRDefault="00BD67E7" w:rsidP="00BD67E7">
    <w:pPr>
      <w:pStyle w:val="a5"/>
      <w:ind w:right="360"/>
      <w:jc w:val="center"/>
      <w:rPr>
        <w:rFonts w:ascii="FrankRuehl" w:hAnsi="FrankRuehl" w:cs="FrankRuehl"/>
        <w:sz w:val="26"/>
        <w:szCs w:val="26"/>
      </w:rPr>
    </w:pPr>
    <w:r w:rsidRPr="00B46B4F">
      <w:rPr>
        <w:rFonts w:ascii="FrankRuehl" w:hAnsi="FrankRuehl" w:cs="FrankRuehl"/>
        <w:sz w:val="26"/>
        <w:szCs w:val="26"/>
        <w:rtl/>
      </w:rPr>
      <w:t>עמוד</w:t>
    </w:r>
    <w:r w:rsidRPr="00B46B4F">
      <w:rPr>
        <w:rFonts w:ascii="FrankRuehl" w:hAnsi="FrankRuehl" w:cs="FrankRuehl"/>
        <w:sz w:val="26"/>
        <w:szCs w:val="26"/>
      </w:rPr>
      <w:t xml:space="preserve"> </w:t>
    </w:r>
    <w:r w:rsidR="0006726A" w:rsidRPr="00B46B4F">
      <w:rPr>
        <w:rFonts w:ascii="FrankRuehl" w:hAnsi="FrankRuehl" w:cs="FrankRuehl"/>
        <w:sz w:val="26"/>
        <w:szCs w:val="26"/>
      </w:rPr>
      <w:fldChar w:fldCharType="begin"/>
    </w:r>
    <w:r w:rsidRPr="00B46B4F">
      <w:rPr>
        <w:rFonts w:ascii="FrankRuehl" w:hAnsi="FrankRuehl" w:cs="FrankRuehl"/>
        <w:sz w:val="26"/>
        <w:szCs w:val="26"/>
      </w:rPr>
      <w:instrText xml:space="preserve"> PAGE </w:instrText>
    </w:r>
    <w:r w:rsidR="0006726A" w:rsidRPr="00B46B4F">
      <w:rPr>
        <w:rFonts w:ascii="FrankRuehl" w:hAnsi="FrankRuehl" w:cs="FrankRuehl"/>
        <w:sz w:val="26"/>
        <w:szCs w:val="26"/>
      </w:rPr>
      <w:fldChar w:fldCharType="separate"/>
    </w:r>
    <w:r w:rsidR="0010143A">
      <w:rPr>
        <w:rFonts w:ascii="FrankRuehl" w:hAnsi="FrankRuehl" w:cs="FrankRuehl"/>
        <w:noProof/>
        <w:sz w:val="26"/>
        <w:szCs w:val="26"/>
        <w:rtl/>
      </w:rPr>
      <w:t>1</w:t>
    </w:r>
    <w:r w:rsidR="0006726A" w:rsidRPr="00B46B4F">
      <w:rPr>
        <w:rFonts w:ascii="FrankRuehl" w:hAnsi="FrankRuehl" w:cs="FrankRuehl"/>
        <w:sz w:val="26"/>
        <w:szCs w:val="26"/>
      </w:rPr>
      <w:fldChar w:fldCharType="end"/>
    </w:r>
    <w:r w:rsidRPr="00B46B4F">
      <w:rPr>
        <w:rFonts w:ascii="FrankRuehl" w:hAnsi="FrankRuehl" w:cs="FrankRuehl"/>
        <w:sz w:val="26"/>
        <w:szCs w:val="26"/>
      </w:rPr>
      <w:t xml:space="preserve"> </w:t>
    </w:r>
    <w:r w:rsidRPr="00B46B4F">
      <w:rPr>
        <w:rFonts w:ascii="FrankRuehl" w:hAnsi="FrankRuehl" w:cs="FrankRuehl"/>
        <w:sz w:val="26"/>
        <w:szCs w:val="26"/>
        <w:rtl/>
      </w:rPr>
      <w:t>מתוך</w:t>
    </w:r>
    <w:r w:rsidRPr="00B46B4F">
      <w:rPr>
        <w:rFonts w:ascii="FrankRuehl" w:hAnsi="FrankRuehl" w:cs="FrankRuehl"/>
        <w:sz w:val="26"/>
        <w:szCs w:val="26"/>
      </w:rPr>
      <w:t xml:space="preserve"> </w:t>
    </w:r>
    <w:r w:rsidR="0006726A" w:rsidRPr="00B46B4F">
      <w:rPr>
        <w:rFonts w:ascii="FrankRuehl" w:hAnsi="FrankRuehl" w:cs="FrankRuehl"/>
        <w:sz w:val="26"/>
        <w:szCs w:val="26"/>
      </w:rPr>
      <w:fldChar w:fldCharType="begin"/>
    </w:r>
    <w:r w:rsidRPr="00B46B4F">
      <w:rPr>
        <w:rFonts w:ascii="FrankRuehl" w:hAnsi="FrankRuehl" w:cs="FrankRuehl"/>
        <w:sz w:val="26"/>
        <w:szCs w:val="26"/>
      </w:rPr>
      <w:instrText xml:space="preserve"> NUMPAGES </w:instrText>
    </w:r>
    <w:r w:rsidR="0006726A" w:rsidRPr="00B46B4F">
      <w:rPr>
        <w:rFonts w:ascii="FrankRuehl" w:hAnsi="FrankRuehl" w:cs="FrankRuehl"/>
        <w:sz w:val="26"/>
        <w:szCs w:val="26"/>
      </w:rPr>
      <w:fldChar w:fldCharType="separate"/>
    </w:r>
    <w:r w:rsidR="0010143A">
      <w:rPr>
        <w:rFonts w:ascii="FrankRuehl" w:hAnsi="FrankRuehl" w:cs="FrankRuehl"/>
        <w:noProof/>
        <w:sz w:val="26"/>
        <w:szCs w:val="26"/>
        <w:rtl/>
      </w:rPr>
      <w:t>30</w:t>
    </w:r>
    <w:r w:rsidR="0006726A" w:rsidRPr="00B46B4F">
      <w:rPr>
        <w:rFonts w:ascii="FrankRuehl" w:hAnsi="FrankRuehl" w:cs="FrankRuehl"/>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6D8" w:rsidRDefault="00AC46D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265" w:rsidRDefault="007B6265">
      <w:r>
        <w:separator/>
      </w:r>
    </w:p>
  </w:footnote>
  <w:footnote w:type="continuationSeparator" w:id="0">
    <w:p w:rsidR="007B6265" w:rsidRDefault="007B6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6D8" w:rsidRDefault="00AC46D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בירושלים</w:t>
              </w:r>
            </w:p>
          </w:tc>
        </w:sdtContent>
      </w:sdt>
    </w:tr>
    <w:tr w:rsidR="00507694">
      <w:trPr>
        <w:trHeight w:val="337"/>
        <w:jc w:val="center"/>
      </w:trPr>
      <w:tc>
        <w:tcPr>
          <w:tcW w:w="5131" w:type="dxa"/>
        </w:tcPr>
        <w:p w:rsidR="00507694" w:rsidRDefault="007B6265">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w:t>
              </w:r>
            </w:sdtContent>
          </w:sdt>
          <w:r w:rsidR="00684E84">
            <w:rPr>
              <w:rFonts w:cs="FrankRuehl" w:hint="cs"/>
              <w:sz w:val="28"/>
              <w:szCs w:val="28"/>
              <w:rtl/>
            </w:rPr>
            <w:t xml:space="preserve"> </w:t>
          </w:r>
          <w:sdt>
            <w:sdtPr>
              <w:rPr>
                <w:rtl/>
              </w:rPr>
              <w:alias w:val="1171"/>
              <w:tag w:val="1171"/>
              <w:id w:val="-1870053316"/>
              <w:text w:multiLine="1"/>
            </w:sdtPr>
            <w:sdtEndPr/>
            <w:sdtContent>
              <w:r w:rsidR="004902D6">
                <w:rPr>
                  <w:rFonts w:cs="FrankRuehl"/>
                  <w:sz w:val="28"/>
                  <w:szCs w:val="28"/>
                  <w:rtl/>
                </w:rPr>
                <w:t>69728-06-20</w:t>
              </w:r>
            </w:sdtContent>
          </w:sdt>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מדינת ישראל נ' סולומון</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Pr="0036499E" w:rsidRDefault="00684E84">
    <w:pPr>
      <w:pStyle w:val="a3"/>
      <w:rPr>
        <w:rFonts w:ascii="FrankRuehl" w:hAnsi="FrankRuehl" w:cs="FrankRuehl"/>
        <w:sz w:val="26"/>
        <w:szCs w:val="26"/>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46D8" w:rsidRDefault="00AC46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A24416"/>
    <w:multiLevelType w:val="hybridMultilevel"/>
    <w:tmpl w:val="C4406816"/>
    <w:lvl w:ilvl="0" w:tplc="0CFEF0D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B5591C"/>
    <w:multiLevelType w:val="hybridMultilevel"/>
    <w:tmpl w:val="2FC62654"/>
    <w:lvl w:ilvl="0" w:tplc="19FAFA3E">
      <w:start w:val="1"/>
      <w:numFmt w:val="bullet"/>
      <w:lvlText w:val="-"/>
      <w:lvlJc w:val="left"/>
      <w:pPr>
        <w:ind w:left="720" w:hanging="360"/>
      </w:pPr>
      <w:rPr>
        <w:rFonts w:ascii="FrankRuehl" w:eastAsia="Times New Roman" w:hAnsi="FrankRuehl" w:cs="FrankRuehl" w:hint="default"/>
      </w:rPr>
    </w:lvl>
    <w:lvl w:ilvl="1" w:tplc="A2F06F4E">
      <w:start w:val="1"/>
      <w:numFmt w:val="bullet"/>
      <w:lvlText w:val="o"/>
      <w:lvlJc w:val="left"/>
      <w:pPr>
        <w:ind w:left="1440" w:hanging="360"/>
      </w:pPr>
      <w:rPr>
        <w:rFonts w:ascii="Courier New" w:hAnsi="Courier New" w:cs="Courier New" w:hint="default"/>
      </w:rPr>
    </w:lvl>
    <w:lvl w:ilvl="2" w:tplc="7FB6F5EC">
      <w:start w:val="1"/>
      <w:numFmt w:val="bullet"/>
      <w:lvlText w:val=""/>
      <w:lvlJc w:val="left"/>
      <w:pPr>
        <w:ind w:left="2160" w:hanging="360"/>
      </w:pPr>
      <w:rPr>
        <w:rFonts w:ascii="Wingdings" w:hAnsi="Wingdings" w:hint="default"/>
      </w:rPr>
    </w:lvl>
    <w:lvl w:ilvl="3" w:tplc="2B28178C">
      <w:start w:val="1"/>
      <w:numFmt w:val="bullet"/>
      <w:lvlText w:val=""/>
      <w:lvlJc w:val="left"/>
      <w:pPr>
        <w:ind w:left="2880" w:hanging="360"/>
      </w:pPr>
      <w:rPr>
        <w:rFonts w:ascii="Symbol" w:hAnsi="Symbol" w:hint="default"/>
      </w:rPr>
    </w:lvl>
    <w:lvl w:ilvl="4" w:tplc="B8C608DA">
      <w:start w:val="1"/>
      <w:numFmt w:val="bullet"/>
      <w:lvlText w:val="o"/>
      <w:lvlJc w:val="left"/>
      <w:pPr>
        <w:ind w:left="3600" w:hanging="360"/>
      </w:pPr>
      <w:rPr>
        <w:rFonts w:ascii="Courier New" w:hAnsi="Courier New" w:cs="Courier New" w:hint="default"/>
      </w:rPr>
    </w:lvl>
    <w:lvl w:ilvl="5" w:tplc="FB9638F4">
      <w:start w:val="1"/>
      <w:numFmt w:val="bullet"/>
      <w:lvlText w:val=""/>
      <w:lvlJc w:val="left"/>
      <w:pPr>
        <w:ind w:left="4320" w:hanging="360"/>
      </w:pPr>
      <w:rPr>
        <w:rFonts w:ascii="Wingdings" w:hAnsi="Wingdings" w:hint="default"/>
      </w:rPr>
    </w:lvl>
    <w:lvl w:ilvl="6" w:tplc="319A2A90">
      <w:start w:val="1"/>
      <w:numFmt w:val="bullet"/>
      <w:lvlText w:val=""/>
      <w:lvlJc w:val="left"/>
      <w:pPr>
        <w:ind w:left="5040" w:hanging="360"/>
      </w:pPr>
      <w:rPr>
        <w:rFonts w:ascii="Symbol" w:hAnsi="Symbol" w:hint="default"/>
      </w:rPr>
    </w:lvl>
    <w:lvl w:ilvl="7" w:tplc="626A13CC">
      <w:start w:val="1"/>
      <w:numFmt w:val="bullet"/>
      <w:lvlText w:val="o"/>
      <w:lvlJc w:val="left"/>
      <w:pPr>
        <w:ind w:left="5760" w:hanging="360"/>
      </w:pPr>
      <w:rPr>
        <w:rFonts w:ascii="Courier New" w:hAnsi="Courier New" w:cs="Courier New" w:hint="default"/>
      </w:rPr>
    </w:lvl>
    <w:lvl w:ilvl="8" w:tplc="F5CAF0F6">
      <w:start w:val="1"/>
      <w:numFmt w:val="bullet"/>
      <w:lvlText w:val=""/>
      <w:lvlJc w:val="left"/>
      <w:pPr>
        <w:ind w:left="6480" w:hanging="360"/>
      </w:pPr>
      <w:rPr>
        <w:rFonts w:ascii="Wingdings" w:hAnsi="Wingdings" w:hint="default"/>
      </w:rPr>
    </w:lvl>
  </w:abstractNum>
  <w:abstractNum w:abstractNumId="3" w15:restartNumberingAfterBreak="0">
    <w:nsid w:val="3AA50590"/>
    <w:multiLevelType w:val="hybridMultilevel"/>
    <w:tmpl w:val="644ABFB2"/>
    <w:lvl w:ilvl="0" w:tplc="7828FA7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CE3F00"/>
    <w:multiLevelType w:val="hybridMultilevel"/>
    <w:tmpl w:val="75BC120A"/>
    <w:lvl w:ilvl="0" w:tplc="60FAD3B8">
      <w:numFmt w:val="bullet"/>
      <w:lvlText w:val=""/>
      <w:lvlJc w:val="left"/>
      <w:pPr>
        <w:ind w:left="720" w:hanging="360"/>
      </w:pPr>
      <w:rPr>
        <w:rFonts w:ascii="Symbol" w:eastAsia="Calibri" w:hAnsi="Symbol" w:cs="FrankRueh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1150C3"/>
    <w:multiLevelType w:val="hybridMultilevel"/>
    <w:tmpl w:val="4BC67B70"/>
    <w:lvl w:ilvl="0" w:tplc="B2F8583C">
      <w:start w:val="1"/>
      <w:numFmt w:val="hebrew1"/>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E7B7D85"/>
    <w:multiLevelType w:val="hybridMultilevel"/>
    <w:tmpl w:val="99FA9138"/>
    <w:lvl w:ilvl="0" w:tplc="A058FFE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2"/>
  </w:num>
  <w:num w:numId="4">
    <w:abstractNumId w:val="2"/>
  </w:num>
  <w:num w:numId="5">
    <w:abstractNumId w:val="5"/>
  </w:num>
  <w:num w:numId="6">
    <w:abstractNumId w:val="4"/>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21332"/>
    <w:rsid w:val="00026FE9"/>
    <w:rsid w:val="00031F8A"/>
    <w:rsid w:val="000454A8"/>
    <w:rsid w:val="00052819"/>
    <w:rsid w:val="00054FC4"/>
    <w:rsid w:val="0006726A"/>
    <w:rsid w:val="00072A92"/>
    <w:rsid w:val="00081B31"/>
    <w:rsid w:val="000828D4"/>
    <w:rsid w:val="000860D1"/>
    <w:rsid w:val="000A1BAF"/>
    <w:rsid w:val="000B0A13"/>
    <w:rsid w:val="000B7DF9"/>
    <w:rsid w:val="000C78FC"/>
    <w:rsid w:val="000E13B2"/>
    <w:rsid w:val="000F2247"/>
    <w:rsid w:val="000F3A7E"/>
    <w:rsid w:val="00100577"/>
    <w:rsid w:val="0010143A"/>
    <w:rsid w:val="00102916"/>
    <w:rsid w:val="0012203E"/>
    <w:rsid w:val="001352F8"/>
    <w:rsid w:val="00152E5C"/>
    <w:rsid w:val="001B2284"/>
    <w:rsid w:val="001C627A"/>
    <w:rsid w:val="001D0CEC"/>
    <w:rsid w:val="001F5F37"/>
    <w:rsid w:val="00212125"/>
    <w:rsid w:val="00216710"/>
    <w:rsid w:val="00224AC0"/>
    <w:rsid w:val="002546A0"/>
    <w:rsid w:val="0026020B"/>
    <w:rsid w:val="00270F96"/>
    <w:rsid w:val="00275FC4"/>
    <w:rsid w:val="002A23E4"/>
    <w:rsid w:val="002B7D23"/>
    <w:rsid w:val="002C5D4B"/>
    <w:rsid w:val="002C602F"/>
    <w:rsid w:val="002D6C61"/>
    <w:rsid w:val="002E0EB2"/>
    <w:rsid w:val="002E7355"/>
    <w:rsid w:val="002E76A0"/>
    <w:rsid w:val="002F2F55"/>
    <w:rsid w:val="002F75B2"/>
    <w:rsid w:val="003053F2"/>
    <w:rsid w:val="003164DD"/>
    <w:rsid w:val="00324021"/>
    <w:rsid w:val="00345D87"/>
    <w:rsid w:val="00345FA4"/>
    <w:rsid w:val="0036499E"/>
    <w:rsid w:val="00367565"/>
    <w:rsid w:val="00377936"/>
    <w:rsid w:val="00383DD4"/>
    <w:rsid w:val="003852A3"/>
    <w:rsid w:val="00385588"/>
    <w:rsid w:val="003A1E48"/>
    <w:rsid w:val="003A501E"/>
    <w:rsid w:val="003C3984"/>
    <w:rsid w:val="003D7D8A"/>
    <w:rsid w:val="003E0C9F"/>
    <w:rsid w:val="00402EAB"/>
    <w:rsid w:val="00417DE5"/>
    <w:rsid w:val="004215DC"/>
    <w:rsid w:val="0042248F"/>
    <w:rsid w:val="00455B70"/>
    <w:rsid w:val="00465AB8"/>
    <w:rsid w:val="0046623A"/>
    <w:rsid w:val="004902D6"/>
    <w:rsid w:val="004951A6"/>
    <w:rsid w:val="00496264"/>
    <w:rsid w:val="004A701B"/>
    <w:rsid w:val="004E607E"/>
    <w:rsid w:val="004F612A"/>
    <w:rsid w:val="00507694"/>
    <w:rsid w:val="005403D9"/>
    <w:rsid w:val="00581D13"/>
    <w:rsid w:val="00590E59"/>
    <w:rsid w:val="005A2C61"/>
    <w:rsid w:val="005C7B0B"/>
    <w:rsid w:val="005E201E"/>
    <w:rsid w:val="005F0100"/>
    <w:rsid w:val="00612839"/>
    <w:rsid w:val="00626371"/>
    <w:rsid w:val="00634226"/>
    <w:rsid w:val="00644BC7"/>
    <w:rsid w:val="00664EF1"/>
    <w:rsid w:val="006720F5"/>
    <w:rsid w:val="00683ABD"/>
    <w:rsid w:val="00684E84"/>
    <w:rsid w:val="006A1A09"/>
    <w:rsid w:val="006B6367"/>
    <w:rsid w:val="006C2095"/>
    <w:rsid w:val="006C6B27"/>
    <w:rsid w:val="006E1087"/>
    <w:rsid w:val="006F0935"/>
    <w:rsid w:val="006F43C9"/>
    <w:rsid w:val="0070310A"/>
    <w:rsid w:val="00706644"/>
    <w:rsid w:val="0072681B"/>
    <w:rsid w:val="00757983"/>
    <w:rsid w:val="00762A35"/>
    <w:rsid w:val="007910AA"/>
    <w:rsid w:val="007B15EA"/>
    <w:rsid w:val="007B6265"/>
    <w:rsid w:val="007C006C"/>
    <w:rsid w:val="007C6DDA"/>
    <w:rsid w:val="007D61FE"/>
    <w:rsid w:val="0080358C"/>
    <w:rsid w:val="00817D95"/>
    <w:rsid w:val="00821F29"/>
    <w:rsid w:val="00822550"/>
    <w:rsid w:val="00832D73"/>
    <w:rsid w:val="0083611D"/>
    <w:rsid w:val="00852F6B"/>
    <w:rsid w:val="00854A21"/>
    <w:rsid w:val="00860F8F"/>
    <w:rsid w:val="0086132F"/>
    <w:rsid w:val="00872BF0"/>
    <w:rsid w:val="008819B4"/>
    <w:rsid w:val="008877BB"/>
    <w:rsid w:val="008929DD"/>
    <w:rsid w:val="008A219F"/>
    <w:rsid w:val="008C5CA8"/>
    <w:rsid w:val="008E6CE6"/>
    <w:rsid w:val="008F540C"/>
    <w:rsid w:val="008F6A41"/>
    <w:rsid w:val="00947B38"/>
    <w:rsid w:val="009705CC"/>
    <w:rsid w:val="00995E28"/>
    <w:rsid w:val="009A730D"/>
    <w:rsid w:val="009B370D"/>
    <w:rsid w:val="009C4817"/>
    <w:rsid w:val="009D7969"/>
    <w:rsid w:val="009E0D2A"/>
    <w:rsid w:val="009E35A7"/>
    <w:rsid w:val="009E36BB"/>
    <w:rsid w:val="009E49A1"/>
    <w:rsid w:val="009F504D"/>
    <w:rsid w:val="00A0642F"/>
    <w:rsid w:val="00A1554F"/>
    <w:rsid w:val="00A31DE9"/>
    <w:rsid w:val="00A32109"/>
    <w:rsid w:val="00A40F30"/>
    <w:rsid w:val="00A4147D"/>
    <w:rsid w:val="00A504C4"/>
    <w:rsid w:val="00A51A2C"/>
    <w:rsid w:val="00A731E5"/>
    <w:rsid w:val="00A96CFC"/>
    <w:rsid w:val="00AA431D"/>
    <w:rsid w:val="00AC2B97"/>
    <w:rsid w:val="00AC46D8"/>
    <w:rsid w:val="00AD524B"/>
    <w:rsid w:val="00AE3DB0"/>
    <w:rsid w:val="00B01051"/>
    <w:rsid w:val="00B05847"/>
    <w:rsid w:val="00B22E0A"/>
    <w:rsid w:val="00B27463"/>
    <w:rsid w:val="00B46B4F"/>
    <w:rsid w:val="00B4735B"/>
    <w:rsid w:val="00B70D04"/>
    <w:rsid w:val="00B832CD"/>
    <w:rsid w:val="00B87970"/>
    <w:rsid w:val="00BD5CCC"/>
    <w:rsid w:val="00BD67E7"/>
    <w:rsid w:val="00BE0015"/>
    <w:rsid w:val="00BE2765"/>
    <w:rsid w:val="00BF5D53"/>
    <w:rsid w:val="00C02463"/>
    <w:rsid w:val="00C02CBE"/>
    <w:rsid w:val="00C11CAB"/>
    <w:rsid w:val="00C45023"/>
    <w:rsid w:val="00C55E62"/>
    <w:rsid w:val="00C572E8"/>
    <w:rsid w:val="00C62FD7"/>
    <w:rsid w:val="00C872B0"/>
    <w:rsid w:val="00CA17B0"/>
    <w:rsid w:val="00CB4A88"/>
    <w:rsid w:val="00CE0D0B"/>
    <w:rsid w:val="00D16667"/>
    <w:rsid w:val="00D202F4"/>
    <w:rsid w:val="00D3203D"/>
    <w:rsid w:val="00D37296"/>
    <w:rsid w:val="00D508C1"/>
    <w:rsid w:val="00D55D01"/>
    <w:rsid w:val="00D632B5"/>
    <w:rsid w:val="00D725D8"/>
    <w:rsid w:val="00D74D97"/>
    <w:rsid w:val="00D81AF1"/>
    <w:rsid w:val="00D97BDC"/>
    <w:rsid w:val="00DA7A3A"/>
    <w:rsid w:val="00DF3284"/>
    <w:rsid w:val="00E004D0"/>
    <w:rsid w:val="00E063AF"/>
    <w:rsid w:val="00E15C8B"/>
    <w:rsid w:val="00E4240F"/>
    <w:rsid w:val="00E43107"/>
    <w:rsid w:val="00E70F9C"/>
    <w:rsid w:val="00E7217D"/>
    <w:rsid w:val="00E84135"/>
    <w:rsid w:val="00EA24C1"/>
    <w:rsid w:val="00EC2D00"/>
    <w:rsid w:val="00ED323A"/>
    <w:rsid w:val="00ED4465"/>
    <w:rsid w:val="00F2020D"/>
    <w:rsid w:val="00F41492"/>
    <w:rsid w:val="00F542CD"/>
    <w:rsid w:val="00F61229"/>
    <w:rsid w:val="00F63D40"/>
    <w:rsid w:val="00F73359"/>
    <w:rsid w:val="00F74048"/>
    <w:rsid w:val="00F75AFC"/>
    <w:rsid w:val="00F862B6"/>
    <w:rsid w:val="00F91B51"/>
    <w:rsid w:val="00F95A60"/>
    <w:rsid w:val="00FA2187"/>
    <w:rsid w:val="00FD4475"/>
    <w:rsid w:val="00FD7CF9"/>
    <w:rsid w:val="00FE1C1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4">
    <w:name w:val="heading 4"/>
    <w:basedOn w:val="a"/>
    <w:next w:val="a"/>
    <w:link w:val="40"/>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A7B41"/>
    <w:pPr>
      <w:tabs>
        <w:tab w:val="center" w:pos="4153"/>
        <w:tab w:val="right" w:pos="8306"/>
      </w:tabs>
    </w:pPr>
  </w:style>
  <w:style w:type="paragraph" w:styleId="a5">
    <w:name w:val="footer"/>
    <w:basedOn w:val="a"/>
    <w:link w:val="a6"/>
    <w:rsid w:val="003A7B41"/>
    <w:pPr>
      <w:tabs>
        <w:tab w:val="center" w:pos="4153"/>
        <w:tab w:val="right" w:pos="8306"/>
      </w:tabs>
    </w:pPr>
  </w:style>
  <w:style w:type="character" w:styleId="a7">
    <w:name w:val="annotation reference"/>
    <w:basedOn w:val="a0"/>
    <w:semiHidden/>
    <w:rsid w:val="003A7B41"/>
    <w:rPr>
      <w:sz w:val="16"/>
      <w:szCs w:val="16"/>
    </w:rPr>
  </w:style>
  <w:style w:type="paragraph" w:styleId="a8">
    <w:name w:val="annotation text"/>
    <w:basedOn w:val="a"/>
    <w:link w:val="a9"/>
    <w:semiHidden/>
    <w:rsid w:val="003A7B41"/>
    <w:rPr>
      <w:rFonts w:cs="Times New Roman"/>
      <w:lang w:eastAsia="he-IL"/>
    </w:rPr>
  </w:style>
  <w:style w:type="paragraph" w:styleId="aa">
    <w:name w:val="Balloon Text"/>
    <w:basedOn w:val="a"/>
    <w:link w:val="ab"/>
    <w:semiHidden/>
    <w:rsid w:val="003A7B41"/>
    <w:rPr>
      <w:rFonts w:ascii="Tahoma" w:hAnsi="Tahoma" w:cs="Tahoma"/>
      <w:sz w:val="16"/>
      <w:szCs w:val="16"/>
    </w:rPr>
  </w:style>
  <w:style w:type="table" w:styleId="ac">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rsid w:val="00BD67E7"/>
  </w:style>
  <w:style w:type="character" w:styleId="ae">
    <w:name w:val="Placeholder Text"/>
    <w:basedOn w:val="a0"/>
    <w:uiPriority w:val="99"/>
    <w:semiHidden/>
    <w:rsid w:val="003D7D8A"/>
    <w:rPr>
      <w:color w:val="808080"/>
    </w:rPr>
  </w:style>
  <w:style w:type="character" w:customStyle="1" w:styleId="40">
    <w:name w:val="כותרת 4 תו"/>
    <w:basedOn w:val="a0"/>
    <w:link w:val="4"/>
    <w:rsid w:val="00D508C1"/>
    <w:rPr>
      <w:rFonts w:cs="Narkisim"/>
      <w:b/>
      <w:bCs/>
      <w:sz w:val="24"/>
      <w:szCs w:val="24"/>
      <w14:shadow w14:blurRad="50800" w14:dist="38100" w14:dir="2700000" w14:sx="100000" w14:sy="100000" w14:kx="0" w14:ky="0" w14:algn="tl">
        <w14:srgbClr w14:val="000000">
          <w14:alpha w14:val="60000"/>
        </w14:srgbClr>
      </w14:shadow>
    </w:rPr>
  </w:style>
  <w:style w:type="paragraph" w:customStyle="1" w:styleId="msonormal0">
    <w:name w:val="msonormal"/>
    <w:basedOn w:val="a"/>
    <w:rsid w:val="00D508C1"/>
    <w:pPr>
      <w:bidi w:val="0"/>
      <w:spacing w:before="100" w:beforeAutospacing="1" w:after="100" w:afterAutospacing="1"/>
    </w:pPr>
    <w:rPr>
      <w:rFonts w:cs="Times New Roman"/>
    </w:rPr>
  </w:style>
  <w:style w:type="character" w:customStyle="1" w:styleId="a9">
    <w:name w:val="טקסט הערה תו"/>
    <w:basedOn w:val="a0"/>
    <w:link w:val="a8"/>
    <w:semiHidden/>
    <w:rsid w:val="00D508C1"/>
    <w:rPr>
      <w:sz w:val="24"/>
      <w:szCs w:val="24"/>
      <w:lang w:eastAsia="he-IL"/>
    </w:rPr>
  </w:style>
  <w:style w:type="character" w:customStyle="1" w:styleId="a4">
    <w:name w:val="כותרת עליונה תו"/>
    <w:basedOn w:val="a0"/>
    <w:link w:val="a3"/>
    <w:rsid w:val="00D508C1"/>
    <w:rPr>
      <w:rFonts w:cs="David"/>
      <w:sz w:val="24"/>
      <w:szCs w:val="24"/>
    </w:rPr>
  </w:style>
  <w:style w:type="character" w:customStyle="1" w:styleId="a6">
    <w:name w:val="כותרת תחתונה תו"/>
    <w:basedOn w:val="a0"/>
    <w:link w:val="a5"/>
    <w:rsid w:val="00D508C1"/>
    <w:rPr>
      <w:rFonts w:cs="David"/>
      <w:sz w:val="24"/>
      <w:szCs w:val="24"/>
    </w:rPr>
  </w:style>
  <w:style w:type="character" w:customStyle="1" w:styleId="ab">
    <w:name w:val="טקסט בלונים תו"/>
    <w:basedOn w:val="a0"/>
    <w:link w:val="aa"/>
    <w:semiHidden/>
    <w:rsid w:val="00D508C1"/>
    <w:rPr>
      <w:rFonts w:ascii="Tahoma" w:hAnsi="Tahoma" w:cs="Tahoma"/>
      <w:sz w:val="16"/>
      <w:szCs w:val="16"/>
    </w:rPr>
  </w:style>
  <w:style w:type="paragraph" w:styleId="af">
    <w:name w:val="List Paragraph"/>
    <w:basedOn w:val="a"/>
    <w:uiPriority w:val="34"/>
    <w:qFormat/>
    <w:rsid w:val="00A40F30"/>
    <w:pPr>
      <w:ind w:left="720"/>
      <w:contextualSpacing/>
    </w:pPr>
  </w:style>
  <w:style w:type="paragraph" w:customStyle="1" w:styleId="ruller4">
    <w:name w:val="ruller4"/>
    <w:basedOn w:val="a"/>
    <w:rsid w:val="00E063AF"/>
    <w:pPr>
      <w:bidi w:val="0"/>
      <w:spacing w:before="100" w:beforeAutospacing="1" w:after="100" w:afterAutospacing="1"/>
    </w:pPr>
    <w:rPr>
      <w:rFonts w:cs="Times New Roman"/>
    </w:rPr>
  </w:style>
  <w:style w:type="character" w:styleId="Hyperlink">
    <w:name w:val="Hyperlink"/>
    <w:basedOn w:val="a0"/>
    <w:uiPriority w:val="99"/>
    <w:semiHidden/>
    <w:unhideWhenUsed/>
    <w:rsid w:val="00E063AF"/>
    <w:rPr>
      <w:color w:val="0000FF"/>
      <w:u w:val="single"/>
    </w:rPr>
  </w:style>
  <w:style w:type="paragraph" w:customStyle="1" w:styleId="ruller51">
    <w:name w:val="ruller51"/>
    <w:basedOn w:val="a"/>
    <w:rsid w:val="00E063AF"/>
    <w:pPr>
      <w:bidi w:val="0"/>
      <w:spacing w:before="100" w:beforeAutospacing="1" w:after="100" w:afterAutospacing="1"/>
    </w:pPr>
    <w:rPr>
      <w:rFonts w:cs="Times New Roman"/>
    </w:rPr>
  </w:style>
  <w:style w:type="paragraph" w:customStyle="1" w:styleId="ruller41">
    <w:name w:val="ruller41"/>
    <w:basedOn w:val="a"/>
    <w:rsid w:val="00275FC4"/>
    <w:pPr>
      <w:bidi w:val="0"/>
      <w:spacing w:before="100" w:beforeAutospacing="1" w:after="100" w:afterAutospacing="1"/>
    </w:pPr>
    <w:rPr>
      <w:rFonts w:cs="Times New Roman"/>
    </w:rPr>
  </w:style>
  <w:style w:type="paragraph" w:customStyle="1" w:styleId="ruller40">
    <w:name w:val="ruller40"/>
    <w:basedOn w:val="a"/>
    <w:rsid w:val="00275FC4"/>
    <w:pPr>
      <w:bidi w:val="0"/>
      <w:spacing w:before="100" w:beforeAutospacing="1" w:after="100" w:afterAutospacing="1"/>
    </w:pPr>
    <w:rPr>
      <w:rFonts w:cs="Times New Roman"/>
    </w:rPr>
  </w:style>
  <w:style w:type="paragraph" w:customStyle="1" w:styleId="ruller5">
    <w:name w:val="ruller5"/>
    <w:basedOn w:val="a"/>
    <w:rsid w:val="00275FC4"/>
    <w:pPr>
      <w:bidi w:val="0"/>
      <w:spacing w:before="100" w:beforeAutospacing="1" w:after="100" w:afterAutospacing="1"/>
    </w:pPr>
    <w:rPr>
      <w:rFonts w:cs="Times New Roman"/>
    </w:rPr>
  </w:style>
  <w:style w:type="paragraph" w:styleId="af0">
    <w:name w:val="Plain Text"/>
    <w:basedOn w:val="a"/>
    <w:link w:val="af1"/>
    <w:uiPriority w:val="99"/>
    <w:semiHidden/>
    <w:unhideWhenUsed/>
    <w:rsid w:val="00275FC4"/>
    <w:pPr>
      <w:bidi w:val="0"/>
      <w:spacing w:before="100" w:beforeAutospacing="1" w:after="100" w:afterAutospacing="1"/>
    </w:pPr>
    <w:rPr>
      <w:rFonts w:cs="Times New Roman"/>
    </w:rPr>
  </w:style>
  <w:style w:type="character" w:customStyle="1" w:styleId="af1">
    <w:name w:val="טקסט רגיל תו"/>
    <w:basedOn w:val="a0"/>
    <w:link w:val="af0"/>
    <w:uiPriority w:val="99"/>
    <w:semiHidden/>
    <w:rsid w:val="00275FC4"/>
    <w:rPr>
      <w:sz w:val="24"/>
      <w:szCs w:val="24"/>
    </w:rPr>
  </w:style>
  <w:style w:type="character" w:customStyle="1" w:styleId="a40">
    <w:name w:val="a4"/>
    <w:basedOn w:val="a0"/>
    <w:rsid w:val="00275FC4"/>
  </w:style>
  <w:style w:type="paragraph" w:customStyle="1" w:styleId="ruller50">
    <w:name w:val="ruller50"/>
    <w:basedOn w:val="a"/>
    <w:rsid w:val="00275FC4"/>
    <w:pPr>
      <w:bidi w:val="0"/>
      <w:spacing w:before="100" w:beforeAutospacing="1" w:after="100" w:afterAutospacing="1"/>
    </w:pPr>
    <w:rPr>
      <w:rFonts w:cs="Times New Roman"/>
    </w:rPr>
  </w:style>
  <w:style w:type="character" w:customStyle="1" w:styleId="a50">
    <w:name w:val="a5"/>
    <w:basedOn w:val="a0"/>
    <w:rsid w:val="00275FC4"/>
  </w:style>
  <w:style w:type="paragraph" w:customStyle="1" w:styleId="listparagraph">
    <w:name w:val="listparagraph"/>
    <w:basedOn w:val="a"/>
    <w:rsid w:val="0042248F"/>
    <w:pPr>
      <w:bidi w:val="0"/>
      <w:spacing w:before="100" w:beforeAutospacing="1" w:after="100" w:afterAutospacing="1"/>
    </w:pPr>
    <w:rPr>
      <w:rFonts w:cs="Times New Roman"/>
    </w:rPr>
  </w:style>
  <w:style w:type="paragraph" w:customStyle="1" w:styleId="p00">
    <w:name w:val="p00"/>
    <w:basedOn w:val="a"/>
    <w:rsid w:val="002F75B2"/>
    <w:pPr>
      <w:bidi w:val="0"/>
      <w:spacing w:before="100" w:beforeAutospacing="1" w:after="100" w:afterAutospacing="1"/>
    </w:pPr>
    <w:rPr>
      <w:rFonts w:cs="Times New Roman"/>
    </w:rPr>
  </w:style>
  <w:style w:type="character" w:customStyle="1" w:styleId="big-number">
    <w:name w:val="big-number"/>
    <w:basedOn w:val="a0"/>
    <w:rsid w:val="002F75B2"/>
  </w:style>
  <w:style w:type="character" w:customStyle="1" w:styleId="default">
    <w:name w:val="default"/>
    <w:basedOn w:val="a0"/>
    <w:rsid w:val="002F7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39473">
      <w:bodyDiv w:val="1"/>
      <w:marLeft w:val="0"/>
      <w:marRight w:val="0"/>
      <w:marTop w:val="0"/>
      <w:marBottom w:val="0"/>
      <w:divBdr>
        <w:top w:val="none" w:sz="0" w:space="0" w:color="auto"/>
        <w:left w:val="none" w:sz="0" w:space="0" w:color="auto"/>
        <w:bottom w:val="none" w:sz="0" w:space="0" w:color="auto"/>
        <w:right w:val="none" w:sz="0" w:space="0" w:color="auto"/>
      </w:divBdr>
    </w:div>
    <w:div w:id="246574645">
      <w:bodyDiv w:val="1"/>
      <w:marLeft w:val="0"/>
      <w:marRight w:val="0"/>
      <w:marTop w:val="0"/>
      <w:marBottom w:val="0"/>
      <w:divBdr>
        <w:top w:val="none" w:sz="0" w:space="0" w:color="auto"/>
        <w:left w:val="none" w:sz="0" w:space="0" w:color="auto"/>
        <w:bottom w:val="none" w:sz="0" w:space="0" w:color="auto"/>
        <w:right w:val="none" w:sz="0" w:space="0" w:color="auto"/>
      </w:divBdr>
    </w:div>
    <w:div w:id="277488347">
      <w:bodyDiv w:val="1"/>
      <w:marLeft w:val="0"/>
      <w:marRight w:val="0"/>
      <w:marTop w:val="0"/>
      <w:marBottom w:val="0"/>
      <w:divBdr>
        <w:top w:val="none" w:sz="0" w:space="0" w:color="auto"/>
        <w:left w:val="none" w:sz="0" w:space="0" w:color="auto"/>
        <w:bottom w:val="none" w:sz="0" w:space="0" w:color="auto"/>
        <w:right w:val="none" w:sz="0" w:space="0" w:color="auto"/>
      </w:divBdr>
    </w:div>
    <w:div w:id="278416025">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421683949">
      <w:bodyDiv w:val="1"/>
      <w:marLeft w:val="0"/>
      <w:marRight w:val="0"/>
      <w:marTop w:val="0"/>
      <w:marBottom w:val="0"/>
      <w:divBdr>
        <w:top w:val="none" w:sz="0" w:space="0" w:color="auto"/>
        <w:left w:val="none" w:sz="0" w:space="0" w:color="auto"/>
        <w:bottom w:val="none" w:sz="0" w:space="0" w:color="auto"/>
        <w:right w:val="none" w:sz="0" w:space="0" w:color="auto"/>
      </w:divBdr>
    </w:div>
    <w:div w:id="505173897">
      <w:bodyDiv w:val="1"/>
      <w:marLeft w:val="0"/>
      <w:marRight w:val="0"/>
      <w:marTop w:val="0"/>
      <w:marBottom w:val="0"/>
      <w:divBdr>
        <w:top w:val="none" w:sz="0" w:space="0" w:color="auto"/>
        <w:left w:val="none" w:sz="0" w:space="0" w:color="auto"/>
        <w:bottom w:val="none" w:sz="0" w:space="0" w:color="auto"/>
        <w:right w:val="none" w:sz="0" w:space="0" w:color="auto"/>
      </w:divBdr>
    </w:div>
    <w:div w:id="518663520">
      <w:bodyDiv w:val="1"/>
      <w:marLeft w:val="0"/>
      <w:marRight w:val="0"/>
      <w:marTop w:val="0"/>
      <w:marBottom w:val="0"/>
      <w:divBdr>
        <w:top w:val="none" w:sz="0" w:space="0" w:color="auto"/>
        <w:left w:val="none" w:sz="0" w:space="0" w:color="auto"/>
        <w:bottom w:val="none" w:sz="0" w:space="0" w:color="auto"/>
        <w:right w:val="none" w:sz="0" w:space="0" w:color="auto"/>
      </w:divBdr>
    </w:div>
    <w:div w:id="753085898">
      <w:bodyDiv w:val="1"/>
      <w:marLeft w:val="0"/>
      <w:marRight w:val="0"/>
      <w:marTop w:val="0"/>
      <w:marBottom w:val="0"/>
      <w:divBdr>
        <w:top w:val="none" w:sz="0" w:space="0" w:color="auto"/>
        <w:left w:val="none" w:sz="0" w:space="0" w:color="auto"/>
        <w:bottom w:val="none" w:sz="0" w:space="0" w:color="auto"/>
        <w:right w:val="none" w:sz="0" w:space="0" w:color="auto"/>
      </w:divBdr>
    </w:div>
    <w:div w:id="813529488">
      <w:bodyDiv w:val="1"/>
      <w:marLeft w:val="0"/>
      <w:marRight w:val="0"/>
      <w:marTop w:val="0"/>
      <w:marBottom w:val="0"/>
      <w:divBdr>
        <w:top w:val="none" w:sz="0" w:space="0" w:color="auto"/>
        <w:left w:val="none" w:sz="0" w:space="0" w:color="auto"/>
        <w:bottom w:val="none" w:sz="0" w:space="0" w:color="auto"/>
        <w:right w:val="none" w:sz="0" w:space="0" w:color="auto"/>
      </w:divBdr>
    </w:div>
    <w:div w:id="981738246">
      <w:bodyDiv w:val="1"/>
      <w:marLeft w:val="0"/>
      <w:marRight w:val="0"/>
      <w:marTop w:val="0"/>
      <w:marBottom w:val="0"/>
      <w:divBdr>
        <w:top w:val="none" w:sz="0" w:space="0" w:color="auto"/>
        <w:left w:val="none" w:sz="0" w:space="0" w:color="auto"/>
        <w:bottom w:val="none" w:sz="0" w:space="0" w:color="auto"/>
        <w:right w:val="none" w:sz="0" w:space="0" w:color="auto"/>
      </w:divBdr>
    </w:div>
    <w:div w:id="1045256087">
      <w:bodyDiv w:val="1"/>
      <w:marLeft w:val="0"/>
      <w:marRight w:val="0"/>
      <w:marTop w:val="0"/>
      <w:marBottom w:val="0"/>
      <w:divBdr>
        <w:top w:val="none" w:sz="0" w:space="0" w:color="auto"/>
        <w:left w:val="none" w:sz="0" w:space="0" w:color="auto"/>
        <w:bottom w:val="none" w:sz="0" w:space="0" w:color="auto"/>
        <w:right w:val="none" w:sz="0" w:space="0" w:color="auto"/>
      </w:divBdr>
    </w:div>
    <w:div w:id="118609059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435858200">
      <w:bodyDiv w:val="1"/>
      <w:marLeft w:val="0"/>
      <w:marRight w:val="0"/>
      <w:marTop w:val="0"/>
      <w:marBottom w:val="0"/>
      <w:divBdr>
        <w:top w:val="none" w:sz="0" w:space="0" w:color="auto"/>
        <w:left w:val="none" w:sz="0" w:space="0" w:color="auto"/>
        <w:bottom w:val="none" w:sz="0" w:space="0" w:color="auto"/>
        <w:right w:val="none" w:sz="0" w:space="0" w:color="auto"/>
      </w:divBdr>
    </w:div>
    <w:div w:id="1440300781">
      <w:bodyDiv w:val="1"/>
      <w:marLeft w:val="0"/>
      <w:marRight w:val="0"/>
      <w:marTop w:val="0"/>
      <w:marBottom w:val="0"/>
      <w:divBdr>
        <w:top w:val="none" w:sz="0" w:space="0" w:color="auto"/>
        <w:left w:val="none" w:sz="0" w:space="0" w:color="auto"/>
        <w:bottom w:val="none" w:sz="0" w:space="0" w:color="auto"/>
        <w:right w:val="none" w:sz="0" w:space="0" w:color="auto"/>
      </w:divBdr>
    </w:div>
    <w:div w:id="1582760947">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 w:id="1800414242">
      <w:bodyDiv w:val="1"/>
      <w:marLeft w:val="0"/>
      <w:marRight w:val="0"/>
      <w:marTop w:val="0"/>
      <w:marBottom w:val="0"/>
      <w:divBdr>
        <w:top w:val="none" w:sz="0" w:space="0" w:color="auto"/>
        <w:left w:val="none" w:sz="0" w:space="0" w:color="auto"/>
        <w:bottom w:val="none" w:sz="0" w:space="0" w:color="auto"/>
        <w:right w:val="none" w:sz="0" w:space="0" w:color="auto"/>
      </w:divBdr>
    </w:div>
    <w:div w:id="1925871418">
      <w:bodyDiv w:val="1"/>
      <w:marLeft w:val="0"/>
      <w:marRight w:val="0"/>
      <w:marTop w:val="0"/>
      <w:marBottom w:val="0"/>
      <w:divBdr>
        <w:top w:val="none" w:sz="0" w:space="0" w:color="auto"/>
        <w:left w:val="none" w:sz="0" w:space="0" w:color="auto"/>
        <w:bottom w:val="none" w:sz="0" w:space="0" w:color="auto"/>
        <w:right w:val="none" w:sz="0" w:space="0" w:color="auto"/>
      </w:divBdr>
    </w:div>
    <w:div w:id="2014838939">
      <w:bodyDiv w:val="1"/>
      <w:marLeft w:val="0"/>
      <w:marRight w:val="0"/>
      <w:marTop w:val="0"/>
      <w:marBottom w:val="0"/>
      <w:divBdr>
        <w:top w:val="none" w:sz="0" w:space="0" w:color="auto"/>
        <w:left w:val="none" w:sz="0" w:space="0" w:color="auto"/>
        <w:bottom w:val="none" w:sz="0" w:space="0" w:color="auto"/>
        <w:right w:val="none" w:sz="0" w:space="0" w:color="auto"/>
      </w:divBdr>
    </w:div>
    <w:div w:id="2051032042">
      <w:bodyDiv w:val="1"/>
      <w:marLeft w:val="0"/>
      <w:marRight w:val="0"/>
      <w:marTop w:val="0"/>
      <w:marBottom w:val="0"/>
      <w:divBdr>
        <w:top w:val="none" w:sz="0" w:space="0" w:color="auto"/>
        <w:left w:val="none" w:sz="0" w:space="0" w:color="auto"/>
        <w:bottom w:val="none" w:sz="0" w:space="0" w:color="auto"/>
        <w:right w:val="none" w:sz="0" w:space="0" w:color="auto"/>
      </w:divBdr>
    </w:div>
    <w:div w:id="2085881494">
      <w:bodyDiv w:val="1"/>
      <w:marLeft w:val="0"/>
      <w:marRight w:val="0"/>
      <w:marTop w:val="0"/>
      <w:marBottom w:val="0"/>
      <w:divBdr>
        <w:top w:val="none" w:sz="0" w:space="0" w:color="auto"/>
        <w:left w:val="none" w:sz="0" w:space="0" w:color="auto"/>
        <w:bottom w:val="none" w:sz="0" w:space="0" w:color="auto"/>
        <w:right w:val="none" w:sz="0" w:space="0" w:color="auto"/>
      </w:divBdr>
    </w:div>
    <w:div w:id="21035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30548" TargetMode="Externa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nevo.co.il/law/703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0301/294.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nevo.co.il/case/5698660"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evo.co.il/case/5698660"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4F4937" w:rsidP="004F4937">
          <w:pPr>
            <w:pStyle w:val="4C499F2ED676413B965A992DD16BA9681"/>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W1)">
    <w:altName w:val="Times New Roman"/>
    <w:charset w:val="00"/>
    <w:family w:val="roman"/>
    <w:pitch w:val="variable"/>
    <w:sig w:usb0="20007A87" w:usb1="80000000" w:usb2="00000008"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980"/>
    <w:rsid w:val="00311E12"/>
    <w:rsid w:val="00313980"/>
    <w:rsid w:val="004F4937"/>
    <w:rsid w:val="00604245"/>
    <w:rsid w:val="00762167"/>
    <w:rsid w:val="00A8366A"/>
    <w:rsid w:val="00AF3697"/>
    <w:rsid w:val="00CC13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79E22585710421C8C89FB185AEA4F29">
    <w:name w:val="779E22585710421C8C89FB185AEA4F29"/>
    <w:rsid w:val="00313980"/>
    <w:pPr>
      <w:bidi/>
    </w:pPr>
  </w:style>
  <w:style w:type="paragraph" w:customStyle="1" w:styleId="010484D989C74E84A895BCF1D17B4C1C">
    <w:name w:val="010484D989C74E84A895BCF1D17B4C1C"/>
    <w:rsid w:val="00313980"/>
    <w:pPr>
      <w:bidi/>
    </w:pPr>
  </w:style>
  <w:style w:type="character" w:styleId="a3">
    <w:name w:val="Placeholder Text"/>
    <w:basedOn w:val="a0"/>
    <w:uiPriority w:val="99"/>
    <w:semiHidden/>
    <w:rsid w:val="004F4937"/>
    <w:rPr>
      <w:color w:val="808080"/>
    </w:rPr>
  </w:style>
  <w:style w:type="paragraph" w:customStyle="1" w:styleId="779E22585710421C8C89FB185AEA4F291">
    <w:name w:val="779E22585710421C8C89FB185AEA4F291"/>
    <w:rsid w:val="00311E12"/>
    <w:pPr>
      <w:bidi/>
      <w:spacing w:after="0" w:line="240" w:lineRule="auto"/>
    </w:pPr>
    <w:rPr>
      <w:rFonts w:ascii="Times New Roman" w:eastAsia="Times New Roman" w:hAnsi="Times New Roman" w:cs="David"/>
      <w:sz w:val="24"/>
      <w:szCs w:val="24"/>
    </w:rPr>
  </w:style>
  <w:style w:type="paragraph" w:customStyle="1" w:styleId="010484D989C74E84A895BCF1D17B4C1C1">
    <w:name w:val="010484D989C74E84A895BCF1D17B4C1C1"/>
    <w:rsid w:val="00311E12"/>
    <w:pPr>
      <w:bidi/>
      <w:spacing w:after="0" w:line="240" w:lineRule="auto"/>
    </w:pPr>
    <w:rPr>
      <w:rFonts w:ascii="Times New Roman" w:eastAsia="Times New Roman" w:hAnsi="Times New Roman" w:cs="David"/>
      <w:sz w:val="24"/>
      <w:szCs w:val="24"/>
    </w:rPr>
  </w:style>
  <w:style w:type="paragraph" w:customStyle="1" w:styleId="779E22585710421C8C89FB185AEA4F292">
    <w:name w:val="779E22585710421C8C89FB185AEA4F292"/>
    <w:rsid w:val="00CC13F5"/>
    <w:pPr>
      <w:bidi/>
      <w:spacing w:after="0" w:line="240" w:lineRule="auto"/>
    </w:pPr>
    <w:rPr>
      <w:rFonts w:ascii="Times New Roman" w:eastAsia="Times New Roman" w:hAnsi="Times New Roman" w:cs="David"/>
      <w:sz w:val="24"/>
      <w:szCs w:val="24"/>
    </w:rPr>
  </w:style>
  <w:style w:type="paragraph" w:customStyle="1" w:styleId="010484D989C74E84A895BCF1D17B4C1C2">
    <w:name w:val="010484D989C74E84A895BCF1D17B4C1C2"/>
    <w:rsid w:val="00CC13F5"/>
    <w:pPr>
      <w:bidi/>
      <w:spacing w:after="0" w:line="240" w:lineRule="auto"/>
    </w:pPr>
    <w:rPr>
      <w:rFonts w:ascii="Times New Roman" w:eastAsia="Times New Roman" w:hAnsi="Times New Roman" w:cs="David"/>
      <w:sz w:val="24"/>
      <w:szCs w:val="24"/>
    </w:rPr>
  </w:style>
  <w:style w:type="paragraph" w:customStyle="1" w:styleId="779E22585710421C8C89FB185AEA4F293">
    <w:name w:val="779E22585710421C8C89FB185AEA4F293"/>
    <w:rsid w:val="00AF3697"/>
    <w:pPr>
      <w:bidi/>
      <w:spacing w:after="0" w:line="240" w:lineRule="auto"/>
    </w:pPr>
    <w:rPr>
      <w:rFonts w:ascii="Times New Roman" w:eastAsia="Times New Roman" w:hAnsi="Times New Roman" w:cs="David"/>
      <w:sz w:val="24"/>
      <w:szCs w:val="24"/>
    </w:rPr>
  </w:style>
  <w:style w:type="paragraph" w:customStyle="1" w:styleId="010484D989C74E84A895BCF1D17B4C1C3">
    <w:name w:val="010484D989C74E84A895BCF1D17B4C1C3"/>
    <w:rsid w:val="00AF3697"/>
    <w:pPr>
      <w:bidi/>
      <w:spacing w:after="0" w:line="240" w:lineRule="auto"/>
    </w:pPr>
    <w:rPr>
      <w:rFonts w:ascii="Times New Roman" w:eastAsia="Times New Roman" w:hAnsi="Times New Roman" w:cs="David"/>
      <w:sz w:val="24"/>
      <w:szCs w:val="24"/>
    </w:rPr>
  </w:style>
  <w:style w:type="paragraph" w:customStyle="1" w:styleId="4C499F2ED676413B965A992DD16BA968">
    <w:name w:val="4C499F2ED676413B965A992DD16BA968"/>
    <w:rsid w:val="00AF3697"/>
    <w:pPr>
      <w:bidi/>
      <w:spacing w:after="0" w:line="240" w:lineRule="auto"/>
    </w:pPr>
    <w:rPr>
      <w:rFonts w:ascii="Times New Roman" w:eastAsia="Times New Roman" w:hAnsi="Times New Roman" w:cs="David"/>
      <w:sz w:val="24"/>
      <w:szCs w:val="24"/>
    </w:rPr>
  </w:style>
  <w:style w:type="paragraph" w:customStyle="1" w:styleId="779E22585710421C8C89FB185AEA4F294">
    <w:name w:val="779E22585710421C8C89FB185AEA4F294"/>
    <w:rsid w:val="00604245"/>
    <w:pPr>
      <w:bidi/>
      <w:spacing w:after="0" w:line="240" w:lineRule="auto"/>
    </w:pPr>
    <w:rPr>
      <w:rFonts w:ascii="Times New Roman" w:eastAsia="Times New Roman" w:hAnsi="Times New Roman" w:cs="David"/>
      <w:sz w:val="24"/>
      <w:szCs w:val="24"/>
    </w:rPr>
  </w:style>
  <w:style w:type="paragraph" w:customStyle="1" w:styleId="010484D989C74E84A895BCF1D17B4C1C4">
    <w:name w:val="010484D989C74E84A895BCF1D17B4C1C4"/>
    <w:rsid w:val="00604245"/>
    <w:pPr>
      <w:bidi/>
      <w:spacing w:after="0" w:line="240" w:lineRule="auto"/>
    </w:pPr>
    <w:rPr>
      <w:rFonts w:ascii="Times New Roman" w:eastAsia="Times New Roman" w:hAnsi="Times New Roman" w:cs="David"/>
      <w:sz w:val="24"/>
      <w:szCs w:val="24"/>
    </w:rPr>
  </w:style>
  <w:style w:type="paragraph" w:customStyle="1" w:styleId="4C499F2ED676413B965A992DD16BA9681">
    <w:name w:val="4C499F2ED676413B965A992DD16BA9681"/>
    <w:rsid w:val="004F4937"/>
    <w:pPr>
      <w:bidi/>
      <w:spacing w:after="0" w:line="240" w:lineRule="auto"/>
    </w:pPr>
    <w:rPr>
      <w:rFonts w:ascii="Times New Roman" w:eastAsia="Times New Roman" w:hAnsi="Times New Roman" w:cs="David"/>
      <w:sz w:val="24"/>
      <w:szCs w:val="24"/>
    </w:rPr>
  </w:style>
  <w:style w:type="paragraph" w:customStyle="1" w:styleId="34BB382EAE934D1788E9F50A663E07CE">
    <w:name w:val="34BB382EAE934D1788E9F50A663E07CE"/>
    <w:rsid w:val="004F4937"/>
    <w:pPr>
      <w:bidi/>
    </w:pPr>
  </w:style>
  <w:style w:type="paragraph" w:customStyle="1" w:styleId="96BD77F6E6DD40BF9BDF5259990F5C09">
    <w:name w:val="96BD77F6E6DD40BF9BDF5259990F5C09"/>
    <w:rsid w:val="0076216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8983</Words>
  <Characters>44915</Characters>
  <Application>Microsoft Office Word</Application>
  <DocSecurity>0</DocSecurity>
  <Lines>374</Lines>
  <Paragraphs>107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2023-06-10T19:40:00Z</cp:lastPrinted>
  <dcterms:created xsi:type="dcterms:W3CDTF">2023-06-11T13:10:00Z</dcterms:created>
  <dcterms:modified xsi:type="dcterms:W3CDTF">2023-06-11T13:10:00Z</dcterms:modified>
</cp:coreProperties>
</file>